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D8C6" w14:textId="15FBFB8F" w:rsidR="00550163" w:rsidRDefault="00103DAA" w:rsidP="00103DAA">
      <w:pPr>
        <w:spacing w:before="1" w:after="307"/>
        <w:ind w:left="1440" w:right="3019" w:firstLine="720"/>
        <w:textAlignment w:val="baseline"/>
      </w:pPr>
      <w:r>
        <w:rPr>
          <w:b/>
          <w:noProof/>
        </w:rPr>
        <w:drawing>
          <wp:inline distT="0" distB="0" distL="0" distR="0" wp14:anchorId="1849D6A4" wp14:editId="5BA25BC1">
            <wp:extent cx="3094839" cy="482600"/>
            <wp:effectExtent l="0" t="0" r="0" b="0"/>
            <wp:docPr id="2" name="Picture 2" descr="AAH_Logo_CMYK_Print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H_Logo_CMYK_Print (0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5472" cy="496733"/>
                    </a:xfrm>
                    <a:prstGeom prst="rect">
                      <a:avLst/>
                    </a:prstGeom>
                    <a:noFill/>
                    <a:ln>
                      <a:noFill/>
                    </a:ln>
                  </pic:spPr>
                </pic:pic>
              </a:graphicData>
            </a:graphic>
          </wp:inline>
        </w:drawing>
      </w:r>
    </w:p>
    <w:p w14:paraId="1A3E173F" w14:textId="77777777" w:rsidR="00550163" w:rsidRDefault="001470AA">
      <w:pPr>
        <w:spacing w:line="485" w:lineRule="exact"/>
        <w:jc w:val="center"/>
        <w:textAlignment w:val="baseline"/>
        <w:rPr>
          <w:rFonts w:eastAsia="Times New Roman"/>
          <w:color w:val="000000"/>
          <w:sz w:val="28"/>
        </w:rPr>
      </w:pPr>
      <w:r>
        <w:rPr>
          <w:rFonts w:eastAsia="Times New Roman"/>
          <w:color w:val="000000"/>
          <w:sz w:val="28"/>
        </w:rPr>
        <w:t xml:space="preserve">American Association for Homecare </w:t>
      </w:r>
      <w:r>
        <w:rPr>
          <w:rFonts w:eastAsia="Times New Roman"/>
          <w:color w:val="000000"/>
          <w:sz w:val="28"/>
        </w:rPr>
        <w:br/>
        <w:t>ANTITRUST COMPLIANCE POLICY</w:t>
      </w:r>
    </w:p>
    <w:p w14:paraId="5B0E9444" w14:textId="77777777" w:rsidR="00755ADE" w:rsidRDefault="00755ADE" w:rsidP="00755ADE">
      <w:pPr>
        <w:rPr>
          <w:color w:val="000000"/>
        </w:rPr>
      </w:pPr>
    </w:p>
    <w:p w14:paraId="595AE060" w14:textId="77777777" w:rsidR="00755ADE" w:rsidRPr="00EC569B" w:rsidRDefault="00755ADE" w:rsidP="00755ADE">
      <w:pPr>
        <w:rPr>
          <w:sz w:val="24"/>
          <w:szCs w:val="24"/>
        </w:rPr>
      </w:pPr>
      <w:r w:rsidRPr="00EC569B">
        <w:rPr>
          <w:color w:val="000000"/>
          <w:sz w:val="24"/>
          <w:szCs w:val="24"/>
        </w:rPr>
        <w:t>T</w:t>
      </w:r>
      <w:r w:rsidRPr="00EC569B">
        <w:rPr>
          <w:rFonts w:eastAsia="Times New Roman"/>
          <w:color w:val="000000"/>
          <w:sz w:val="24"/>
          <w:szCs w:val="24"/>
        </w:rPr>
        <w:t>he American Association for Homecare</w:t>
      </w:r>
      <w:r w:rsidRPr="00EC569B">
        <w:rPr>
          <w:color w:val="000000"/>
          <w:sz w:val="24"/>
          <w:szCs w:val="24"/>
        </w:rPr>
        <w:t>’s</w:t>
      </w:r>
      <w:r w:rsidRPr="00EC569B">
        <w:rPr>
          <w:rFonts w:eastAsia="Times New Roman"/>
          <w:color w:val="000000"/>
          <w:sz w:val="24"/>
          <w:szCs w:val="24"/>
        </w:rPr>
        <w:t xml:space="preserve"> (“AAHomecare”)</w:t>
      </w:r>
      <w:r w:rsidRPr="00EC569B">
        <w:rPr>
          <w:color w:val="000000"/>
          <w:sz w:val="24"/>
          <w:szCs w:val="24"/>
        </w:rPr>
        <w:t xml:space="preserve"> </w:t>
      </w:r>
      <w:r w:rsidRPr="00EC569B">
        <w:rPr>
          <w:sz w:val="24"/>
          <w:szCs w:val="24"/>
        </w:rPr>
        <w:t xml:space="preserve">policy is to comply fully and strictly with both federal and state antitrust laws.  </w:t>
      </w:r>
      <w:proofErr w:type="spellStart"/>
      <w:r w:rsidRPr="00EC569B">
        <w:rPr>
          <w:sz w:val="24"/>
          <w:szCs w:val="24"/>
        </w:rPr>
        <w:t>AAHomecare’s</w:t>
      </w:r>
      <w:proofErr w:type="spellEnd"/>
      <w:r w:rsidRPr="00EC569B">
        <w:rPr>
          <w:sz w:val="24"/>
          <w:szCs w:val="24"/>
        </w:rPr>
        <w:t xml:space="preserve"> policy is motivated by a firm respect and belief in the antitrust laws and the </w:t>
      </w:r>
      <w:proofErr w:type="gramStart"/>
      <w:r w:rsidRPr="00EC569B">
        <w:rPr>
          <w:sz w:val="24"/>
          <w:szCs w:val="24"/>
        </w:rPr>
        <w:t>free market</w:t>
      </w:r>
      <w:proofErr w:type="gramEnd"/>
      <w:r w:rsidRPr="00EC569B">
        <w:rPr>
          <w:sz w:val="24"/>
          <w:szCs w:val="24"/>
        </w:rPr>
        <w:t xml:space="preserve"> philosophy underlying these laws as well as by recognition of the potentially severe detrimental consequences of antitrust violations.  Our aim is to conduct ourselves in such a way as to avoid any potential for antitrust exposure in the first instance.  </w:t>
      </w:r>
    </w:p>
    <w:p w14:paraId="0E5E9D64" w14:textId="77777777" w:rsidR="00755ADE" w:rsidRPr="00EC569B" w:rsidRDefault="00755ADE">
      <w:pPr>
        <w:spacing w:before="278" w:line="276" w:lineRule="exact"/>
        <w:ind w:right="72"/>
        <w:textAlignment w:val="baseline"/>
        <w:rPr>
          <w:rFonts w:eastAsia="Times New Roman"/>
          <w:color w:val="000000"/>
          <w:sz w:val="24"/>
          <w:szCs w:val="24"/>
        </w:rPr>
      </w:pPr>
      <w:r w:rsidRPr="00EC569B">
        <w:rPr>
          <w:rFonts w:eastAsia="Times New Roman"/>
          <w:color w:val="000000"/>
          <w:sz w:val="24"/>
          <w:szCs w:val="24"/>
        </w:rPr>
        <w:t xml:space="preserve">The antitrust laws can be enforced against associations, association members, and the association’s employees by both government agencies and private parties. </w:t>
      </w:r>
      <w:r w:rsidR="001470AA" w:rsidRPr="00EC569B">
        <w:rPr>
          <w:rFonts w:eastAsia="Times New Roman"/>
          <w:color w:val="000000"/>
          <w:sz w:val="24"/>
          <w:szCs w:val="24"/>
        </w:rPr>
        <w:t>The consequences for violating the antitrust laws can be severe</w:t>
      </w:r>
      <w:r w:rsidRPr="00EC569B">
        <w:rPr>
          <w:rFonts w:eastAsia="Times New Roman"/>
          <w:color w:val="000000"/>
          <w:sz w:val="24"/>
          <w:szCs w:val="24"/>
        </w:rPr>
        <w:t xml:space="preserve">, including fines, </w:t>
      </w:r>
      <w:r w:rsidR="001470AA" w:rsidRPr="00EC569B">
        <w:rPr>
          <w:rFonts w:eastAsia="Times New Roman"/>
          <w:color w:val="000000"/>
          <w:sz w:val="24"/>
          <w:szCs w:val="24"/>
        </w:rPr>
        <w:t>jail sentences</w:t>
      </w:r>
      <w:r w:rsidRPr="00EC569B">
        <w:rPr>
          <w:rFonts w:eastAsia="Times New Roman"/>
          <w:color w:val="000000"/>
          <w:sz w:val="24"/>
          <w:szCs w:val="24"/>
        </w:rPr>
        <w:t xml:space="preserve">, and even dissolution of the association. </w:t>
      </w:r>
      <w:r w:rsidR="001470AA" w:rsidRPr="00EC569B">
        <w:rPr>
          <w:rFonts w:eastAsia="Times New Roman"/>
          <w:color w:val="000000"/>
          <w:sz w:val="24"/>
          <w:szCs w:val="24"/>
        </w:rPr>
        <w:t xml:space="preserve">  </w:t>
      </w:r>
    </w:p>
    <w:p w14:paraId="5EC8C8FD" w14:textId="77777777" w:rsidR="00550163" w:rsidRPr="00EC569B" w:rsidRDefault="00755ADE">
      <w:pPr>
        <w:spacing w:before="278" w:line="276" w:lineRule="exact"/>
        <w:ind w:right="72"/>
        <w:textAlignment w:val="baseline"/>
        <w:rPr>
          <w:rFonts w:eastAsia="Times New Roman"/>
          <w:color w:val="000000"/>
          <w:sz w:val="24"/>
          <w:szCs w:val="24"/>
        </w:rPr>
      </w:pPr>
      <w:r w:rsidRPr="00EC569B">
        <w:rPr>
          <w:rFonts w:eastAsia="Times New Roman"/>
          <w:color w:val="000000"/>
          <w:sz w:val="24"/>
          <w:szCs w:val="24"/>
        </w:rPr>
        <w:t xml:space="preserve">Full compliance with the antitrust laws is a requirement for </w:t>
      </w:r>
      <w:r w:rsidR="006035B8" w:rsidRPr="00EC569B">
        <w:rPr>
          <w:rFonts w:eastAsia="Times New Roman"/>
          <w:color w:val="000000"/>
          <w:sz w:val="24"/>
          <w:szCs w:val="24"/>
        </w:rPr>
        <w:t>AAHomecare</w:t>
      </w:r>
      <w:r w:rsidRPr="00EC569B">
        <w:rPr>
          <w:rFonts w:eastAsia="Times New Roman"/>
          <w:color w:val="000000"/>
          <w:sz w:val="24"/>
          <w:szCs w:val="24"/>
        </w:rPr>
        <w:t xml:space="preserve"> membership, and responsibility for compliance rests with each member. </w:t>
      </w:r>
      <w:r w:rsidR="001470AA" w:rsidRPr="00EC569B">
        <w:rPr>
          <w:rFonts w:eastAsia="Times New Roman"/>
          <w:color w:val="000000"/>
          <w:sz w:val="24"/>
          <w:szCs w:val="24"/>
        </w:rPr>
        <w:t>As the principal federal antitrust law is a criminal conspiracy statute, an executive attending a meeting at which competitors engage in illegal discussions may be held criminally responsible, even if he or she says nothing at the meeting. The executive’s attendance at the meeting may be sufficient to imply acquiescence in the discussion, making him or her liable to as great a penalty as those who actively participated in the illegal agreement.</w:t>
      </w:r>
    </w:p>
    <w:p w14:paraId="57D36C92" w14:textId="77777777" w:rsidR="00755ADE" w:rsidRPr="00EC569B" w:rsidRDefault="001470AA" w:rsidP="00755ADE">
      <w:pPr>
        <w:spacing w:before="274" w:line="276" w:lineRule="exact"/>
        <w:ind w:right="288"/>
        <w:textAlignment w:val="baseline"/>
        <w:rPr>
          <w:rFonts w:eastAsia="Times New Roman"/>
          <w:color w:val="000000"/>
          <w:sz w:val="24"/>
          <w:szCs w:val="24"/>
        </w:rPr>
      </w:pPr>
      <w:r w:rsidRPr="00EC569B">
        <w:rPr>
          <w:rFonts w:eastAsia="Times New Roman"/>
          <w:color w:val="000000"/>
          <w:sz w:val="24"/>
          <w:szCs w:val="24"/>
        </w:rPr>
        <w:t xml:space="preserve">The antitrust laws prohibit competitors from engaging in actions that could result in an unreasonable restraint of trade. </w:t>
      </w:r>
      <w:r w:rsidR="00755ADE" w:rsidRPr="00EC569B">
        <w:rPr>
          <w:rFonts w:eastAsia="Times New Roman"/>
          <w:color w:val="000000"/>
          <w:sz w:val="24"/>
          <w:szCs w:val="24"/>
        </w:rPr>
        <w:t xml:space="preserve">To comply with the antitrust laws, competitors should not discuss certain subjects when they are together — either at formal meetings or in informal contacts with other industry members.  Topics to avoid discussing with competitors:  prices, price trends, timing of price changes; costs of common inputs; margins, terms of sale, discounts and rebates, promotional programs, inventory levels, production levels, capacities, new projects, and the like.  </w:t>
      </w:r>
    </w:p>
    <w:p w14:paraId="64F914FF" w14:textId="77777777" w:rsidR="00550163" w:rsidRPr="00EC569B" w:rsidRDefault="00755ADE">
      <w:pPr>
        <w:spacing w:before="278" w:line="276" w:lineRule="exact"/>
        <w:textAlignment w:val="baseline"/>
        <w:rPr>
          <w:rFonts w:eastAsia="Times New Roman"/>
          <w:color w:val="000000"/>
          <w:sz w:val="24"/>
          <w:szCs w:val="24"/>
        </w:rPr>
      </w:pPr>
      <w:r w:rsidRPr="00EC569B">
        <w:rPr>
          <w:rFonts w:eastAsia="Times New Roman"/>
          <w:color w:val="000000"/>
          <w:sz w:val="24"/>
          <w:szCs w:val="24"/>
        </w:rPr>
        <w:t>In addition, s</w:t>
      </w:r>
      <w:r w:rsidR="001470AA" w:rsidRPr="00EC569B">
        <w:rPr>
          <w:rFonts w:eastAsia="Times New Roman"/>
          <w:color w:val="000000"/>
          <w:sz w:val="24"/>
          <w:szCs w:val="24"/>
        </w:rPr>
        <w:t xml:space="preserve">ome activities by competitors are deemed so pernicious and harmful that they are considered </w:t>
      </w:r>
      <w:r w:rsidR="001470AA" w:rsidRPr="00EC569B">
        <w:rPr>
          <w:rFonts w:eastAsia="Times New Roman"/>
          <w:i/>
          <w:color w:val="000000"/>
          <w:sz w:val="24"/>
          <w:szCs w:val="24"/>
        </w:rPr>
        <w:t xml:space="preserve">per se </w:t>
      </w:r>
      <w:r w:rsidR="001470AA" w:rsidRPr="00EC569B">
        <w:rPr>
          <w:rFonts w:eastAsia="Times New Roman"/>
          <w:color w:val="000000"/>
          <w:sz w:val="24"/>
          <w:szCs w:val="24"/>
        </w:rPr>
        <w:t xml:space="preserve">violations – it does not matter </w:t>
      </w:r>
      <w:proofErr w:type="gramStart"/>
      <w:r w:rsidR="001470AA" w:rsidRPr="00EC569B">
        <w:rPr>
          <w:rFonts w:eastAsia="Times New Roman"/>
          <w:color w:val="000000"/>
          <w:sz w:val="24"/>
          <w:szCs w:val="24"/>
        </w:rPr>
        <w:t>whether or not</w:t>
      </w:r>
      <w:proofErr w:type="gramEnd"/>
      <w:r w:rsidR="001470AA" w:rsidRPr="00EC569B">
        <w:rPr>
          <w:rFonts w:eastAsia="Times New Roman"/>
          <w:color w:val="000000"/>
          <w:sz w:val="24"/>
          <w:szCs w:val="24"/>
        </w:rPr>
        <w:t xml:space="preserve"> the activities have a harmful effect on competition. These activities generally include</w:t>
      </w:r>
      <w:r w:rsidRPr="00EC569B">
        <w:rPr>
          <w:rFonts w:eastAsia="Times New Roman"/>
          <w:color w:val="000000"/>
          <w:sz w:val="24"/>
          <w:szCs w:val="24"/>
        </w:rPr>
        <w:t xml:space="preserve">: </w:t>
      </w:r>
      <w:r w:rsidR="001470AA" w:rsidRPr="00EC569B">
        <w:rPr>
          <w:rFonts w:eastAsia="Times New Roman"/>
          <w:color w:val="000000"/>
          <w:sz w:val="24"/>
          <w:szCs w:val="24"/>
        </w:rPr>
        <w:t xml:space="preserve"> </w:t>
      </w:r>
    </w:p>
    <w:p w14:paraId="42A7736C" w14:textId="77777777" w:rsidR="00755ADE" w:rsidRPr="00EC569B" w:rsidRDefault="00755ADE" w:rsidP="00755ADE">
      <w:pPr>
        <w:pStyle w:val="ListParagraph"/>
        <w:numPr>
          <w:ilvl w:val="0"/>
          <w:numId w:val="1"/>
        </w:numPr>
        <w:spacing w:before="274" w:line="276" w:lineRule="exact"/>
        <w:ind w:right="288"/>
        <w:textAlignment w:val="baseline"/>
        <w:rPr>
          <w:rFonts w:eastAsia="Times New Roman"/>
          <w:color w:val="000000"/>
          <w:sz w:val="24"/>
          <w:szCs w:val="24"/>
        </w:rPr>
      </w:pPr>
      <w:r w:rsidRPr="00EC569B">
        <w:rPr>
          <w:rFonts w:eastAsia="Times New Roman"/>
          <w:color w:val="000000"/>
          <w:sz w:val="24"/>
          <w:szCs w:val="24"/>
        </w:rPr>
        <w:t xml:space="preserve">Fixing or setting prices for selling products or services to </w:t>
      </w:r>
      <w:proofErr w:type="gramStart"/>
      <w:r w:rsidRPr="00EC569B">
        <w:rPr>
          <w:rFonts w:eastAsia="Times New Roman"/>
          <w:color w:val="000000"/>
          <w:sz w:val="24"/>
          <w:szCs w:val="24"/>
        </w:rPr>
        <w:t>customers;</w:t>
      </w:r>
      <w:proofErr w:type="gramEnd"/>
    </w:p>
    <w:p w14:paraId="2D03C895" w14:textId="77777777" w:rsidR="00755ADE" w:rsidRPr="00EC569B" w:rsidRDefault="00755ADE" w:rsidP="00755ADE">
      <w:pPr>
        <w:pStyle w:val="ListParagraph"/>
        <w:spacing w:before="274" w:line="276" w:lineRule="exact"/>
        <w:ind w:right="288"/>
        <w:textAlignment w:val="baseline"/>
        <w:rPr>
          <w:rFonts w:eastAsia="Times New Roman"/>
          <w:color w:val="000000"/>
          <w:sz w:val="24"/>
          <w:szCs w:val="24"/>
        </w:rPr>
      </w:pPr>
    </w:p>
    <w:p w14:paraId="0532C783" w14:textId="77777777" w:rsidR="00755ADE" w:rsidRPr="00EC569B" w:rsidRDefault="00755ADE" w:rsidP="00755ADE">
      <w:pPr>
        <w:pStyle w:val="ListParagraph"/>
        <w:numPr>
          <w:ilvl w:val="0"/>
          <w:numId w:val="1"/>
        </w:numPr>
        <w:spacing w:before="274" w:line="276" w:lineRule="exact"/>
        <w:ind w:right="288"/>
        <w:textAlignment w:val="baseline"/>
        <w:rPr>
          <w:rFonts w:eastAsia="Times New Roman"/>
          <w:color w:val="000000"/>
          <w:sz w:val="24"/>
          <w:szCs w:val="24"/>
        </w:rPr>
      </w:pPr>
      <w:r w:rsidRPr="00EC569B">
        <w:rPr>
          <w:rFonts w:eastAsia="Times New Roman"/>
          <w:color w:val="000000"/>
          <w:sz w:val="24"/>
          <w:szCs w:val="24"/>
        </w:rPr>
        <w:t xml:space="preserve">Allocating geographic markets or customers between or among </w:t>
      </w:r>
      <w:proofErr w:type="gramStart"/>
      <w:r w:rsidRPr="00EC569B">
        <w:rPr>
          <w:rFonts w:eastAsia="Times New Roman"/>
          <w:color w:val="000000"/>
          <w:sz w:val="24"/>
          <w:szCs w:val="24"/>
        </w:rPr>
        <w:t>competitors;</w:t>
      </w:r>
      <w:proofErr w:type="gramEnd"/>
    </w:p>
    <w:p w14:paraId="081C95BB" w14:textId="77777777" w:rsidR="00755ADE" w:rsidRPr="00EC569B" w:rsidRDefault="00755ADE" w:rsidP="00755ADE">
      <w:pPr>
        <w:pStyle w:val="ListParagraph"/>
        <w:rPr>
          <w:rFonts w:eastAsia="Times New Roman"/>
          <w:color w:val="000000"/>
          <w:sz w:val="24"/>
          <w:szCs w:val="24"/>
        </w:rPr>
      </w:pPr>
    </w:p>
    <w:p w14:paraId="4BA8CFB2" w14:textId="77777777" w:rsidR="00755ADE" w:rsidRPr="00EC569B" w:rsidRDefault="00755ADE" w:rsidP="00755ADE">
      <w:pPr>
        <w:pStyle w:val="ListParagraph"/>
        <w:numPr>
          <w:ilvl w:val="0"/>
          <w:numId w:val="1"/>
        </w:numPr>
        <w:spacing w:before="274" w:line="276" w:lineRule="exact"/>
        <w:ind w:right="288"/>
        <w:textAlignment w:val="baseline"/>
        <w:rPr>
          <w:rFonts w:eastAsia="Times New Roman"/>
          <w:color w:val="000000"/>
          <w:sz w:val="24"/>
          <w:szCs w:val="24"/>
        </w:rPr>
      </w:pPr>
      <w:r w:rsidRPr="00EC569B">
        <w:rPr>
          <w:rFonts w:eastAsia="Times New Roman"/>
          <w:color w:val="000000"/>
          <w:sz w:val="24"/>
          <w:szCs w:val="24"/>
        </w:rPr>
        <w:t xml:space="preserve">Bid rigging, bid rotation, or otherwise distorting the bid </w:t>
      </w:r>
      <w:proofErr w:type="gramStart"/>
      <w:r w:rsidRPr="00EC569B">
        <w:rPr>
          <w:rFonts w:eastAsia="Times New Roman"/>
          <w:color w:val="000000"/>
          <w:sz w:val="24"/>
          <w:szCs w:val="24"/>
        </w:rPr>
        <w:t>process;</w:t>
      </w:r>
      <w:proofErr w:type="gramEnd"/>
    </w:p>
    <w:p w14:paraId="2634B250" w14:textId="77777777" w:rsidR="00755ADE" w:rsidRPr="00EC569B" w:rsidRDefault="00755ADE" w:rsidP="00755ADE">
      <w:pPr>
        <w:pStyle w:val="ListParagraph"/>
        <w:rPr>
          <w:rFonts w:eastAsia="Times New Roman"/>
          <w:color w:val="000000"/>
          <w:sz w:val="24"/>
          <w:szCs w:val="24"/>
        </w:rPr>
      </w:pPr>
    </w:p>
    <w:p w14:paraId="4EA967F3" w14:textId="77777777" w:rsidR="00755ADE" w:rsidRPr="00EC569B" w:rsidRDefault="00755ADE" w:rsidP="00755ADE">
      <w:pPr>
        <w:pStyle w:val="ListParagraph"/>
        <w:numPr>
          <w:ilvl w:val="0"/>
          <w:numId w:val="1"/>
        </w:numPr>
        <w:spacing w:before="274" w:line="276" w:lineRule="exact"/>
        <w:ind w:right="288"/>
        <w:textAlignment w:val="baseline"/>
        <w:rPr>
          <w:rFonts w:eastAsia="Times New Roman"/>
          <w:color w:val="000000"/>
          <w:sz w:val="24"/>
          <w:szCs w:val="24"/>
        </w:rPr>
      </w:pPr>
      <w:r w:rsidRPr="00EC569B">
        <w:rPr>
          <w:rFonts w:eastAsia="Times New Roman"/>
          <w:color w:val="000000"/>
          <w:sz w:val="24"/>
          <w:szCs w:val="24"/>
        </w:rPr>
        <w:lastRenderedPageBreak/>
        <w:t xml:space="preserve">Boycotting customers or </w:t>
      </w:r>
      <w:proofErr w:type="gramStart"/>
      <w:r w:rsidRPr="00EC569B">
        <w:rPr>
          <w:rFonts w:eastAsia="Times New Roman"/>
          <w:color w:val="000000"/>
          <w:sz w:val="24"/>
          <w:szCs w:val="24"/>
        </w:rPr>
        <w:t>suppliers;</w:t>
      </w:r>
      <w:proofErr w:type="gramEnd"/>
    </w:p>
    <w:p w14:paraId="5405BAA8" w14:textId="77777777" w:rsidR="00755ADE" w:rsidRPr="00EC569B" w:rsidRDefault="00755ADE" w:rsidP="00755ADE">
      <w:pPr>
        <w:pStyle w:val="ListParagraph"/>
        <w:rPr>
          <w:rFonts w:eastAsia="Times New Roman"/>
          <w:color w:val="000000"/>
          <w:sz w:val="24"/>
          <w:szCs w:val="24"/>
        </w:rPr>
      </w:pPr>
    </w:p>
    <w:p w14:paraId="7AD68FA7" w14:textId="77777777" w:rsidR="001470AA" w:rsidRDefault="00755ADE" w:rsidP="001470AA">
      <w:pPr>
        <w:pStyle w:val="ListParagraph"/>
        <w:numPr>
          <w:ilvl w:val="0"/>
          <w:numId w:val="1"/>
        </w:numPr>
        <w:spacing w:before="274" w:line="276" w:lineRule="exact"/>
        <w:ind w:right="288"/>
        <w:textAlignment w:val="baseline"/>
        <w:rPr>
          <w:rFonts w:eastAsia="Times New Roman"/>
          <w:color w:val="000000"/>
          <w:sz w:val="24"/>
          <w:szCs w:val="24"/>
        </w:rPr>
      </w:pPr>
      <w:r w:rsidRPr="00EC569B">
        <w:rPr>
          <w:rFonts w:eastAsia="Times New Roman"/>
          <w:color w:val="000000"/>
          <w:sz w:val="24"/>
          <w:szCs w:val="24"/>
        </w:rPr>
        <w:t xml:space="preserve">Agreeing upon levels of production or output; </w:t>
      </w:r>
      <w:r w:rsidR="00BE09BF">
        <w:rPr>
          <w:rFonts w:eastAsia="Times New Roman"/>
          <w:color w:val="000000"/>
          <w:sz w:val="24"/>
          <w:szCs w:val="24"/>
        </w:rPr>
        <w:t>and</w:t>
      </w:r>
    </w:p>
    <w:p w14:paraId="1451E498" w14:textId="77777777" w:rsidR="001470AA" w:rsidRPr="001470AA" w:rsidRDefault="001470AA" w:rsidP="001470AA">
      <w:pPr>
        <w:pStyle w:val="ListParagraph"/>
        <w:rPr>
          <w:rFonts w:eastAsia="Times New Roman"/>
          <w:color w:val="000000"/>
          <w:sz w:val="24"/>
          <w:szCs w:val="24"/>
        </w:rPr>
      </w:pPr>
    </w:p>
    <w:p w14:paraId="24BB567D" w14:textId="77777777" w:rsidR="001470AA" w:rsidRDefault="00755ADE" w:rsidP="001470AA">
      <w:pPr>
        <w:pStyle w:val="ListParagraph"/>
        <w:numPr>
          <w:ilvl w:val="0"/>
          <w:numId w:val="1"/>
        </w:numPr>
        <w:spacing w:before="274" w:line="276" w:lineRule="exact"/>
        <w:ind w:right="288"/>
        <w:textAlignment w:val="baseline"/>
        <w:rPr>
          <w:rFonts w:eastAsia="Times New Roman"/>
          <w:color w:val="000000"/>
          <w:sz w:val="24"/>
          <w:szCs w:val="24"/>
        </w:rPr>
      </w:pPr>
      <w:r w:rsidRPr="001470AA">
        <w:rPr>
          <w:rFonts w:eastAsia="Times New Roman"/>
          <w:color w:val="000000"/>
          <w:sz w:val="24"/>
          <w:szCs w:val="24"/>
        </w:rPr>
        <w:t>Conspiring to exclude competitors or customers from the market</w:t>
      </w:r>
      <w:r w:rsidR="00BE09BF" w:rsidRPr="001470AA">
        <w:rPr>
          <w:rFonts w:eastAsia="Times New Roman"/>
          <w:color w:val="000000"/>
          <w:sz w:val="24"/>
          <w:szCs w:val="24"/>
        </w:rPr>
        <w:t>.</w:t>
      </w:r>
    </w:p>
    <w:p w14:paraId="41F1C6E3" w14:textId="77777777" w:rsidR="00550163" w:rsidRPr="001470AA" w:rsidRDefault="001470AA" w:rsidP="001470AA">
      <w:pPr>
        <w:spacing w:before="274" w:line="276" w:lineRule="exact"/>
        <w:ind w:right="288"/>
        <w:textAlignment w:val="baseline"/>
        <w:rPr>
          <w:rFonts w:eastAsia="Times New Roman"/>
          <w:color w:val="000000"/>
          <w:sz w:val="24"/>
          <w:szCs w:val="24"/>
        </w:rPr>
      </w:pPr>
      <w:r w:rsidRPr="001470AA">
        <w:rPr>
          <w:rFonts w:eastAsia="Times New Roman"/>
          <w:color w:val="000000"/>
          <w:sz w:val="24"/>
          <w:szCs w:val="24"/>
        </w:rPr>
        <w:t>Other actions such as standards development and relationships between distributors and suppliers generally are evaluated under a rule of reason – there is a balancing between the pro-competitive and anti-competitive aspects of the activities. These areas also should be approached with caution and legal guidance.</w:t>
      </w:r>
    </w:p>
    <w:p w14:paraId="7367C542" w14:textId="77777777" w:rsidR="00755ADE" w:rsidRPr="00EC569B" w:rsidRDefault="00755ADE" w:rsidP="00755ADE">
      <w:pPr>
        <w:spacing w:before="274" w:line="276" w:lineRule="exact"/>
        <w:ind w:right="288"/>
        <w:textAlignment w:val="baseline"/>
        <w:rPr>
          <w:rFonts w:eastAsia="Times New Roman"/>
          <w:color w:val="000000"/>
          <w:sz w:val="24"/>
          <w:szCs w:val="24"/>
        </w:rPr>
      </w:pPr>
      <w:r w:rsidRPr="00EC569B">
        <w:rPr>
          <w:rFonts w:eastAsia="Times New Roman"/>
          <w:color w:val="000000"/>
          <w:sz w:val="24"/>
          <w:szCs w:val="24"/>
        </w:rPr>
        <w:t>Members have an obligation to terminate any discussion, seek legal counsel’s advice, or, if necessary, terminate any meeting if the discussion might be construed to raise any antitrust risks.</w:t>
      </w:r>
    </w:p>
    <w:p w14:paraId="6F076A29" w14:textId="77777777" w:rsidR="00755ADE" w:rsidRPr="00EC569B" w:rsidRDefault="00755ADE">
      <w:pPr>
        <w:spacing w:before="274" w:line="276" w:lineRule="exact"/>
        <w:textAlignment w:val="baseline"/>
        <w:rPr>
          <w:rFonts w:eastAsia="Times New Roman"/>
          <w:color w:val="000000"/>
          <w:sz w:val="24"/>
          <w:szCs w:val="24"/>
        </w:rPr>
      </w:pPr>
    </w:p>
    <w:p w14:paraId="0A80AA66" w14:textId="77777777" w:rsidR="00550163" w:rsidRPr="00EC569B" w:rsidRDefault="00550163">
      <w:pPr>
        <w:rPr>
          <w:sz w:val="24"/>
          <w:szCs w:val="24"/>
        </w:rPr>
        <w:sectPr w:rsidR="00550163" w:rsidRPr="00EC569B" w:rsidSect="00663150">
          <w:pgSz w:w="12240" w:h="15840"/>
          <w:pgMar w:top="1440" w:right="1440" w:bottom="1440" w:left="1440" w:header="720" w:footer="720" w:gutter="0"/>
          <w:cols w:space="720"/>
        </w:sectPr>
      </w:pPr>
    </w:p>
    <w:p w14:paraId="0515B624" w14:textId="77777777" w:rsidR="00755ADE" w:rsidRPr="00EC569B" w:rsidRDefault="00755ADE" w:rsidP="00755ADE">
      <w:pPr>
        <w:spacing w:before="2" w:line="275" w:lineRule="exact"/>
        <w:jc w:val="center"/>
        <w:textAlignment w:val="baseline"/>
        <w:rPr>
          <w:rFonts w:eastAsia="Times New Roman"/>
          <w:b/>
          <w:color w:val="000000"/>
          <w:sz w:val="24"/>
          <w:szCs w:val="24"/>
        </w:rPr>
      </w:pPr>
      <w:r w:rsidRPr="00EC569B">
        <w:rPr>
          <w:rFonts w:eastAsia="Times New Roman"/>
          <w:b/>
          <w:color w:val="000000"/>
          <w:sz w:val="24"/>
          <w:szCs w:val="24"/>
        </w:rPr>
        <w:lastRenderedPageBreak/>
        <w:t>Summary of Antitrust Dos and Don’ts</w:t>
      </w:r>
    </w:p>
    <w:p w14:paraId="2CF94790" w14:textId="77777777" w:rsidR="00755ADE" w:rsidRPr="00EC569B" w:rsidRDefault="00755ADE" w:rsidP="00755ADE">
      <w:pPr>
        <w:spacing w:before="2" w:line="275" w:lineRule="exact"/>
        <w:textAlignment w:val="baseline"/>
        <w:rPr>
          <w:rFonts w:eastAsia="Times New Roman"/>
          <w:color w:val="000000"/>
          <w:sz w:val="24"/>
          <w:szCs w:val="24"/>
        </w:rPr>
      </w:pPr>
    </w:p>
    <w:p w14:paraId="723B39E6" w14:textId="77777777" w:rsidR="00BE09BF" w:rsidRDefault="00755ADE" w:rsidP="00755ADE">
      <w:pPr>
        <w:spacing w:before="2" w:line="275" w:lineRule="exact"/>
        <w:textAlignment w:val="baseline"/>
        <w:rPr>
          <w:rFonts w:eastAsia="Times New Roman"/>
          <w:color w:val="000000"/>
          <w:sz w:val="24"/>
          <w:szCs w:val="24"/>
        </w:rPr>
      </w:pPr>
      <w:r w:rsidRPr="00EC569B">
        <w:rPr>
          <w:rFonts w:eastAsia="Times New Roman"/>
          <w:color w:val="000000"/>
          <w:sz w:val="24"/>
          <w:szCs w:val="24"/>
        </w:rPr>
        <w:t>The intent of this Guide is not to make you an antitrust lawyer but to give you enough information about the law so you will know a dangerous area when you see it. The following are some of the most critical “Do’s and Don’ts” for antitrust compliance:</w:t>
      </w:r>
    </w:p>
    <w:p w14:paraId="65291D8B" w14:textId="77777777" w:rsidR="006035B8" w:rsidRDefault="006035B8" w:rsidP="00755ADE">
      <w:pPr>
        <w:rPr>
          <w:b/>
          <w:color w:val="FF0000"/>
          <w:sz w:val="24"/>
          <w:szCs w:val="24"/>
        </w:rPr>
      </w:pPr>
    </w:p>
    <w:p w14:paraId="755F5A66" w14:textId="77777777" w:rsidR="00755ADE" w:rsidRPr="00EC569B" w:rsidRDefault="00755ADE" w:rsidP="00755ADE">
      <w:pPr>
        <w:rPr>
          <w:b/>
          <w:sz w:val="24"/>
          <w:szCs w:val="24"/>
        </w:rPr>
      </w:pPr>
      <w:r w:rsidRPr="00EC569B">
        <w:rPr>
          <w:b/>
          <w:color w:val="FF0000"/>
          <w:sz w:val="24"/>
          <w:szCs w:val="24"/>
        </w:rPr>
        <w:t>Don’ts</w:t>
      </w:r>
      <w:r w:rsidRPr="00EC569B">
        <w:rPr>
          <w:b/>
          <w:sz w:val="24"/>
          <w:szCs w:val="24"/>
        </w:rPr>
        <w:t>:</w:t>
      </w:r>
    </w:p>
    <w:p w14:paraId="661BF363" w14:textId="77777777" w:rsidR="00755ADE" w:rsidRPr="00EC569B" w:rsidRDefault="00755ADE" w:rsidP="00755ADE">
      <w:pPr>
        <w:textAlignment w:val="baseline"/>
        <w:rPr>
          <w:rFonts w:eastAsia="Times New Roman"/>
          <w:color w:val="000000"/>
          <w:sz w:val="24"/>
          <w:szCs w:val="24"/>
        </w:rPr>
      </w:pPr>
    </w:p>
    <w:p w14:paraId="59551260" w14:textId="77777777" w:rsidR="00755ADE" w:rsidRPr="00EC569B" w:rsidRDefault="001470AA" w:rsidP="006035B8">
      <w:pPr>
        <w:pStyle w:val="ListParagraph"/>
        <w:numPr>
          <w:ilvl w:val="0"/>
          <w:numId w:val="2"/>
        </w:numPr>
        <w:spacing w:after="120"/>
        <w:ind w:right="72"/>
        <w:contextualSpacing w:val="0"/>
        <w:textAlignment w:val="baseline"/>
        <w:rPr>
          <w:rFonts w:eastAsia="Times New Roman"/>
          <w:color w:val="000000"/>
          <w:sz w:val="24"/>
          <w:szCs w:val="24"/>
        </w:rPr>
      </w:pPr>
      <w:r w:rsidRPr="006035B8">
        <w:rPr>
          <w:rFonts w:eastAsia="Times New Roman"/>
          <w:b/>
          <w:color w:val="FF0000"/>
          <w:sz w:val="24"/>
          <w:szCs w:val="24"/>
        </w:rPr>
        <w:t>DO NOT</w:t>
      </w:r>
      <w:r w:rsidRPr="006035B8">
        <w:rPr>
          <w:rFonts w:eastAsia="Times New Roman"/>
          <w:color w:val="FF0000"/>
          <w:sz w:val="24"/>
          <w:szCs w:val="24"/>
        </w:rPr>
        <w:t xml:space="preserve"> </w:t>
      </w:r>
      <w:r w:rsidRPr="00EC569B">
        <w:rPr>
          <w:rFonts w:eastAsia="Times New Roman"/>
          <w:color w:val="000000"/>
          <w:sz w:val="24"/>
          <w:szCs w:val="24"/>
        </w:rPr>
        <w:t>discuss prices, fees or rates, or features that can impact (raise, lower or stabilize) prices such as discounts, costs, terms and conditions of sale, warranties, or profit margins. Note that a price-fixing violation may be inferred from price-related discussions followed by parallel decisions on pricing by association members – even in the absence of an oral or written agreement.</w:t>
      </w:r>
    </w:p>
    <w:p w14:paraId="2FAEDEEB" w14:textId="77777777" w:rsidR="00755ADE" w:rsidRPr="00EC569B" w:rsidRDefault="001470AA" w:rsidP="006035B8">
      <w:pPr>
        <w:pStyle w:val="ListParagraph"/>
        <w:numPr>
          <w:ilvl w:val="0"/>
          <w:numId w:val="2"/>
        </w:numPr>
        <w:spacing w:after="120"/>
        <w:ind w:right="72"/>
        <w:contextualSpacing w:val="0"/>
        <w:textAlignment w:val="baseline"/>
        <w:rPr>
          <w:rFonts w:eastAsia="Times New Roman"/>
          <w:color w:val="000000"/>
          <w:sz w:val="24"/>
          <w:szCs w:val="24"/>
        </w:rPr>
      </w:pPr>
      <w:r w:rsidRPr="006035B8">
        <w:rPr>
          <w:rFonts w:eastAsia="Times New Roman"/>
          <w:b/>
          <w:color w:val="FF0000"/>
          <w:sz w:val="24"/>
          <w:szCs w:val="24"/>
        </w:rPr>
        <w:t>DO NOT</w:t>
      </w:r>
      <w:r w:rsidRPr="006035B8">
        <w:rPr>
          <w:rFonts w:eastAsia="Times New Roman"/>
          <w:color w:val="FF0000"/>
          <w:sz w:val="24"/>
          <w:szCs w:val="24"/>
        </w:rPr>
        <w:t xml:space="preserve"> </w:t>
      </w:r>
      <w:r w:rsidRPr="00EC569B">
        <w:rPr>
          <w:rFonts w:eastAsia="Times New Roman"/>
          <w:color w:val="000000"/>
          <w:sz w:val="24"/>
          <w:szCs w:val="24"/>
        </w:rPr>
        <w:t xml:space="preserve">agree with competitors as to uniform terms of sale, </w:t>
      </w:r>
      <w:proofErr w:type="gramStart"/>
      <w:r w:rsidRPr="00EC569B">
        <w:rPr>
          <w:rFonts w:eastAsia="Times New Roman"/>
          <w:color w:val="000000"/>
          <w:sz w:val="24"/>
          <w:szCs w:val="24"/>
        </w:rPr>
        <w:t>warranties</w:t>
      </w:r>
      <w:proofErr w:type="gramEnd"/>
      <w:r w:rsidRPr="00EC569B">
        <w:rPr>
          <w:rFonts w:eastAsia="Times New Roman"/>
          <w:color w:val="000000"/>
          <w:sz w:val="24"/>
          <w:szCs w:val="24"/>
        </w:rPr>
        <w:t xml:space="preserve"> or contract provisions.</w:t>
      </w:r>
    </w:p>
    <w:p w14:paraId="62AAA261" w14:textId="77777777" w:rsidR="00755ADE" w:rsidRPr="00EC569B" w:rsidRDefault="001470AA" w:rsidP="006035B8">
      <w:pPr>
        <w:pStyle w:val="ListParagraph"/>
        <w:numPr>
          <w:ilvl w:val="0"/>
          <w:numId w:val="2"/>
        </w:numPr>
        <w:spacing w:after="120"/>
        <w:ind w:right="72"/>
        <w:contextualSpacing w:val="0"/>
        <w:textAlignment w:val="baseline"/>
        <w:rPr>
          <w:rFonts w:eastAsia="Times New Roman"/>
          <w:color w:val="000000"/>
          <w:sz w:val="24"/>
          <w:szCs w:val="24"/>
        </w:rPr>
      </w:pPr>
      <w:r w:rsidRPr="006035B8">
        <w:rPr>
          <w:rFonts w:eastAsia="Times New Roman"/>
          <w:b/>
          <w:color w:val="FF0000"/>
          <w:sz w:val="24"/>
          <w:szCs w:val="24"/>
        </w:rPr>
        <w:t>DO NOT</w:t>
      </w:r>
      <w:r w:rsidRPr="00EC569B">
        <w:rPr>
          <w:rFonts w:eastAsia="Times New Roman"/>
          <w:color w:val="000000"/>
          <w:sz w:val="24"/>
          <w:szCs w:val="24"/>
        </w:rPr>
        <w:t xml:space="preserve"> exchange data concerning fees, prices, production, sales, bids, costs, customer credit, or other business practices unless the exchange is made pursuant to a well-considered plan that has been approved by </w:t>
      </w:r>
      <w:proofErr w:type="spellStart"/>
      <w:r w:rsidRPr="00EC569B">
        <w:rPr>
          <w:rFonts w:eastAsia="Times New Roman"/>
          <w:color w:val="000000"/>
          <w:sz w:val="24"/>
          <w:szCs w:val="24"/>
        </w:rPr>
        <w:t>AAHomecare’s</w:t>
      </w:r>
      <w:proofErr w:type="spellEnd"/>
      <w:r w:rsidRPr="00EC569B">
        <w:rPr>
          <w:rFonts w:eastAsia="Times New Roman"/>
          <w:color w:val="000000"/>
          <w:sz w:val="24"/>
          <w:szCs w:val="24"/>
        </w:rPr>
        <w:t xml:space="preserve"> legal counsel.</w:t>
      </w:r>
    </w:p>
    <w:p w14:paraId="4724483E" w14:textId="77777777" w:rsidR="00755ADE" w:rsidRPr="00EC569B" w:rsidRDefault="001470AA" w:rsidP="006035B8">
      <w:pPr>
        <w:pStyle w:val="ListParagraph"/>
        <w:numPr>
          <w:ilvl w:val="0"/>
          <w:numId w:val="2"/>
        </w:numPr>
        <w:spacing w:after="120"/>
        <w:ind w:right="72"/>
        <w:contextualSpacing w:val="0"/>
        <w:textAlignment w:val="baseline"/>
        <w:rPr>
          <w:rFonts w:eastAsia="Times New Roman"/>
          <w:color w:val="000000"/>
          <w:sz w:val="24"/>
          <w:szCs w:val="24"/>
        </w:rPr>
      </w:pPr>
      <w:r w:rsidRPr="006035B8">
        <w:rPr>
          <w:rFonts w:eastAsia="Times New Roman"/>
          <w:b/>
          <w:color w:val="FF0000"/>
          <w:spacing w:val="-3"/>
          <w:sz w:val="24"/>
          <w:szCs w:val="24"/>
        </w:rPr>
        <w:t>DO NOT</w:t>
      </w:r>
      <w:r w:rsidRPr="006035B8">
        <w:rPr>
          <w:rFonts w:eastAsia="Times New Roman"/>
          <w:color w:val="FF0000"/>
          <w:spacing w:val="-3"/>
          <w:sz w:val="24"/>
          <w:szCs w:val="24"/>
        </w:rPr>
        <w:t xml:space="preserve"> </w:t>
      </w:r>
      <w:r w:rsidRPr="00EC569B">
        <w:rPr>
          <w:rFonts w:eastAsia="Times New Roman"/>
          <w:color w:val="000000"/>
          <w:spacing w:val="-3"/>
          <w:sz w:val="24"/>
          <w:szCs w:val="24"/>
        </w:rPr>
        <w:t xml:space="preserve">agree with competitors to divide up customers, </w:t>
      </w:r>
      <w:proofErr w:type="gramStart"/>
      <w:r w:rsidRPr="00EC569B">
        <w:rPr>
          <w:rFonts w:eastAsia="Times New Roman"/>
          <w:color w:val="000000"/>
          <w:spacing w:val="-3"/>
          <w:sz w:val="24"/>
          <w:szCs w:val="24"/>
        </w:rPr>
        <w:t>markets</w:t>
      </w:r>
      <w:proofErr w:type="gramEnd"/>
      <w:r w:rsidRPr="00EC569B">
        <w:rPr>
          <w:rFonts w:eastAsia="Times New Roman"/>
          <w:color w:val="000000"/>
          <w:spacing w:val="-3"/>
          <w:sz w:val="24"/>
          <w:szCs w:val="24"/>
        </w:rPr>
        <w:t xml:space="preserve"> or territories</w:t>
      </w:r>
      <w:r w:rsidR="00BE09BF">
        <w:rPr>
          <w:rFonts w:eastAsia="Times New Roman"/>
          <w:color w:val="000000"/>
          <w:spacing w:val="-3"/>
          <w:sz w:val="24"/>
          <w:szCs w:val="24"/>
        </w:rPr>
        <w:t xml:space="preserve">; </w:t>
      </w:r>
      <w:r w:rsidRPr="00EC569B">
        <w:rPr>
          <w:rFonts w:eastAsia="Times New Roman"/>
          <w:color w:val="000000"/>
          <w:spacing w:val="-3"/>
          <w:sz w:val="24"/>
          <w:szCs w:val="24"/>
        </w:rPr>
        <w:t>not to deal with certain suppliers or others</w:t>
      </w:r>
      <w:r w:rsidR="00BE09BF">
        <w:rPr>
          <w:rFonts w:eastAsia="Times New Roman"/>
          <w:color w:val="000000"/>
          <w:spacing w:val="-3"/>
          <w:sz w:val="24"/>
          <w:szCs w:val="24"/>
        </w:rPr>
        <w:t>; or</w:t>
      </w:r>
      <w:r w:rsidRPr="00EC569B">
        <w:rPr>
          <w:rFonts w:eastAsia="Times New Roman"/>
          <w:color w:val="000000"/>
          <w:spacing w:val="-3"/>
          <w:sz w:val="24"/>
          <w:szCs w:val="24"/>
        </w:rPr>
        <w:t xml:space="preserve"> prevent a supplier from selling to your competitor(s).</w:t>
      </w:r>
    </w:p>
    <w:p w14:paraId="55F446AB" w14:textId="77777777" w:rsidR="00755ADE" w:rsidRPr="00EC569B" w:rsidRDefault="001470AA" w:rsidP="006035B8">
      <w:pPr>
        <w:pStyle w:val="ListParagraph"/>
        <w:numPr>
          <w:ilvl w:val="0"/>
          <w:numId w:val="2"/>
        </w:numPr>
        <w:spacing w:after="120"/>
        <w:ind w:right="72"/>
        <w:contextualSpacing w:val="0"/>
        <w:textAlignment w:val="baseline"/>
        <w:rPr>
          <w:rFonts w:eastAsia="Times New Roman"/>
          <w:color w:val="000000"/>
          <w:sz w:val="24"/>
          <w:szCs w:val="24"/>
        </w:rPr>
      </w:pPr>
      <w:r w:rsidRPr="006035B8">
        <w:rPr>
          <w:rFonts w:eastAsia="Times New Roman"/>
          <w:b/>
          <w:color w:val="FF0000"/>
          <w:spacing w:val="-1"/>
          <w:sz w:val="24"/>
          <w:szCs w:val="24"/>
        </w:rPr>
        <w:t>DO NOT</w:t>
      </w:r>
      <w:r w:rsidRPr="006035B8">
        <w:rPr>
          <w:rFonts w:eastAsia="Times New Roman"/>
          <w:color w:val="FF0000"/>
          <w:spacing w:val="-1"/>
          <w:sz w:val="24"/>
          <w:szCs w:val="24"/>
        </w:rPr>
        <w:t xml:space="preserve"> </w:t>
      </w:r>
      <w:r w:rsidRPr="00EC569B">
        <w:rPr>
          <w:rFonts w:eastAsia="Times New Roman"/>
          <w:color w:val="000000"/>
          <w:spacing w:val="-1"/>
          <w:sz w:val="24"/>
          <w:szCs w:val="24"/>
        </w:rPr>
        <w:t>discuss your customers with your competitors.</w:t>
      </w:r>
    </w:p>
    <w:p w14:paraId="1747E74A" w14:textId="77777777" w:rsidR="00755ADE" w:rsidRPr="00EC569B" w:rsidRDefault="001470AA" w:rsidP="00755ADE">
      <w:pPr>
        <w:pStyle w:val="ListParagraph"/>
        <w:numPr>
          <w:ilvl w:val="0"/>
          <w:numId w:val="2"/>
        </w:numPr>
        <w:ind w:right="72"/>
        <w:textAlignment w:val="baseline"/>
        <w:rPr>
          <w:rFonts w:eastAsia="Times New Roman"/>
          <w:color w:val="000000"/>
          <w:sz w:val="24"/>
          <w:szCs w:val="24"/>
        </w:rPr>
      </w:pPr>
      <w:r w:rsidRPr="006035B8">
        <w:rPr>
          <w:rFonts w:eastAsia="Times New Roman"/>
          <w:b/>
          <w:color w:val="FF0000"/>
          <w:sz w:val="24"/>
          <w:szCs w:val="24"/>
        </w:rPr>
        <w:t>DO NOT</w:t>
      </w:r>
      <w:r w:rsidRPr="006035B8">
        <w:rPr>
          <w:rFonts w:eastAsia="Times New Roman"/>
          <w:color w:val="FF0000"/>
          <w:sz w:val="24"/>
          <w:szCs w:val="24"/>
        </w:rPr>
        <w:t xml:space="preserve"> </w:t>
      </w:r>
      <w:r w:rsidRPr="00EC569B">
        <w:rPr>
          <w:rFonts w:eastAsia="Times New Roman"/>
          <w:color w:val="000000"/>
          <w:sz w:val="24"/>
          <w:szCs w:val="24"/>
        </w:rPr>
        <w:t xml:space="preserve">agree to any membership restrictions, standard-setting, certification, accreditation, or self-regulation programs without the restrictions or programs having been approved by </w:t>
      </w:r>
      <w:proofErr w:type="spellStart"/>
      <w:r w:rsidRPr="00EC569B">
        <w:rPr>
          <w:rFonts w:eastAsia="Times New Roman"/>
          <w:color w:val="000000"/>
          <w:sz w:val="24"/>
          <w:szCs w:val="24"/>
        </w:rPr>
        <w:t>AAHomecare’s</w:t>
      </w:r>
      <w:proofErr w:type="spellEnd"/>
      <w:r w:rsidRPr="00EC569B">
        <w:rPr>
          <w:rFonts w:eastAsia="Times New Roman"/>
          <w:color w:val="000000"/>
          <w:sz w:val="24"/>
          <w:szCs w:val="24"/>
        </w:rPr>
        <w:t xml:space="preserve"> legal counsel.</w:t>
      </w:r>
    </w:p>
    <w:p w14:paraId="3C80BB34" w14:textId="77777777" w:rsidR="00755ADE" w:rsidRPr="00EC569B" w:rsidRDefault="00755ADE" w:rsidP="00755ADE">
      <w:pPr>
        <w:ind w:right="72"/>
        <w:textAlignment w:val="baseline"/>
        <w:rPr>
          <w:rFonts w:eastAsia="Times New Roman"/>
          <w:color w:val="000000"/>
          <w:sz w:val="24"/>
          <w:szCs w:val="24"/>
        </w:rPr>
      </w:pPr>
    </w:p>
    <w:p w14:paraId="319A9202" w14:textId="77777777" w:rsidR="00EC569B" w:rsidRPr="00EC569B" w:rsidRDefault="00EC569B" w:rsidP="00EC569B">
      <w:pPr>
        <w:rPr>
          <w:b/>
          <w:sz w:val="24"/>
          <w:szCs w:val="24"/>
        </w:rPr>
      </w:pPr>
      <w:r w:rsidRPr="00EC569B">
        <w:rPr>
          <w:b/>
          <w:color w:val="339966"/>
          <w:sz w:val="24"/>
          <w:szCs w:val="24"/>
        </w:rPr>
        <w:t>Dos</w:t>
      </w:r>
      <w:r w:rsidRPr="00EC569B">
        <w:rPr>
          <w:b/>
          <w:sz w:val="24"/>
          <w:szCs w:val="24"/>
        </w:rPr>
        <w:t>:</w:t>
      </w:r>
    </w:p>
    <w:p w14:paraId="11E02195" w14:textId="77777777" w:rsidR="00755ADE" w:rsidRPr="00EC569B" w:rsidRDefault="00755ADE" w:rsidP="00EC569B">
      <w:pPr>
        <w:ind w:right="72"/>
        <w:textAlignment w:val="baseline"/>
        <w:rPr>
          <w:rFonts w:eastAsia="Times New Roman"/>
          <w:color w:val="000000"/>
          <w:sz w:val="24"/>
          <w:szCs w:val="24"/>
        </w:rPr>
      </w:pPr>
    </w:p>
    <w:p w14:paraId="5E751636" w14:textId="77777777" w:rsidR="006035B8" w:rsidRPr="00EC569B" w:rsidRDefault="006035B8" w:rsidP="006035B8">
      <w:pPr>
        <w:pStyle w:val="ListParagraph"/>
        <w:numPr>
          <w:ilvl w:val="0"/>
          <w:numId w:val="3"/>
        </w:numPr>
        <w:spacing w:after="120"/>
        <w:ind w:right="72"/>
        <w:contextualSpacing w:val="0"/>
        <w:textAlignment w:val="baseline"/>
        <w:rPr>
          <w:rFonts w:eastAsia="Times New Roman"/>
          <w:color w:val="000000"/>
          <w:sz w:val="24"/>
          <w:szCs w:val="24"/>
        </w:rPr>
      </w:pPr>
      <w:r w:rsidRPr="006035B8">
        <w:rPr>
          <w:rFonts w:eastAsia="Times New Roman"/>
          <w:b/>
          <w:color w:val="00B050"/>
          <w:sz w:val="24"/>
          <w:szCs w:val="24"/>
        </w:rPr>
        <w:t>DO</w:t>
      </w:r>
      <w:r w:rsidRPr="00EC569B">
        <w:rPr>
          <w:rFonts w:eastAsia="Times New Roman"/>
          <w:color w:val="000000"/>
          <w:sz w:val="24"/>
          <w:szCs w:val="24"/>
        </w:rPr>
        <w:t xml:space="preserve"> insist that AAHomecare meeting agendas are circulated in advance and that minutes of all meetings properly reflect the actions taken at the meeting.</w:t>
      </w:r>
    </w:p>
    <w:p w14:paraId="4CE20197" w14:textId="77777777" w:rsidR="00EC569B" w:rsidRPr="006035B8" w:rsidRDefault="001470AA" w:rsidP="006035B8">
      <w:pPr>
        <w:pStyle w:val="ListParagraph"/>
        <w:numPr>
          <w:ilvl w:val="0"/>
          <w:numId w:val="3"/>
        </w:numPr>
        <w:spacing w:after="120"/>
        <w:ind w:right="720"/>
        <w:contextualSpacing w:val="0"/>
        <w:textAlignment w:val="baseline"/>
        <w:rPr>
          <w:rFonts w:eastAsia="Times New Roman"/>
          <w:color w:val="000000"/>
          <w:sz w:val="24"/>
          <w:szCs w:val="24"/>
        </w:rPr>
      </w:pPr>
      <w:r w:rsidRPr="006035B8">
        <w:rPr>
          <w:rFonts w:eastAsia="Times New Roman"/>
          <w:b/>
          <w:color w:val="00B050"/>
          <w:sz w:val="24"/>
          <w:szCs w:val="24"/>
        </w:rPr>
        <w:t xml:space="preserve">DO </w:t>
      </w:r>
      <w:r w:rsidRPr="00EC569B">
        <w:rPr>
          <w:rFonts w:eastAsia="Times New Roman"/>
          <w:color w:val="000000"/>
          <w:sz w:val="24"/>
          <w:szCs w:val="24"/>
        </w:rPr>
        <w:t>leave any meeting (formal or informal) where improper subjects are being discussed. Tell everyone why you are leaving.</w:t>
      </w:r>
    </w:p>
    <w:p w14:paraId="1563CDE2" w14:textId="77777777" w:rsidR="00EC569B" w:rsidRPr="006035B8" w:rsidRDefault="001470AA" w:rsidP="006035B8">
      <w:pPr>
        <w:pStyle w:val="ListParagraph"/>
        <w:numPr>
          <w:ilvl w:val="0"/>
          <w:numId w:val="3"/>
        </w:numPr>
        <w:spacing w:after="120"/>
        <w:ind w:right="720"/>
        <w:contextualSpacing w:val="0"/>
        <w:textAlignment w:val="baseline"/>
        <w:rPr>
          <w:rFonts w:eastAsia="Times New Roman"/>
          <w:color w:val="000000"/>
          <w:sz w:val="24"/>
          <w:szCs w:val="24"/>
        </w:rPr>
      </w:pPr>
      <w:r w:rsidRPr="006035B8">
        <w:rPr>
          <w:rFonts w:eastAsia="Times New Roman"/>
          <w:b/>
          <w:color w:val="00B050"/>
          <w:sz w:val="24"/>
          <w:szCs w:val="24"/>
        </w:rPr>
        <w:t xml:space="preserve">DO </w:t>
      </w:r>
      <w:r w:rsidRPr="00EC569B">
        <w:rPr>
          <w:rFonts w:eastAsia="Times New Roman"/>
          <w:color w:val="000000"/>
          <w:sz w:val="24"/>
          <w:szCs w:val="24"/>
        </w:rPr>
        <w:t>ensure that AAHomecare staff sends out all correspondence on behalf of AAHomecare and that AAHomecare officers, directors, committee members, and all other members do not hold themselves out as speaking or acting with the authority of AAHomecare when they do not, in fact, have such authority.</w:t>
      </w:r>
    </w:p>
    <w:p w14:paraId="30DE0A47" w14:textId="77777777" w:rsidR="00EC569B" w:rsidRPr="00EC569B" w:rsidRDefault="001470AA" w:rsidP="00EC569B">
      <w:pPr>
        <w:pStyle w:val="ListParagraph"/>
        <w:numPr>
          <w:ilvl w:val="0"/>
          <w:numId w:val="3"/>
        </w:numPr>
        <w:ind w:right="720"/>
        <w:textAlignment w:val="baseline"/>
        <w:rPr>
          <w:rFonts w:eastAsia="Times New Roman"/>
          <w:color w:val="000000"/>
          <w:sz w:val="24"/>
          <w:szCs w:val="24"/>
        </w:rPr>
      </w:pPr>
      <w:r w:rsidRPr="006035B8">
        <w:rPr>
          <w:rFonts w:eastAsia="Times New Roman"/>
          <w:b/>
          <w:color w:val="00B050"/>
          <w:spacing w:val="-2"/>
          <w:sz w:val="24"/>
          <w:szCs w:val="24"/>
        </w:rPr>
        <w:t>DO</w:t>
      </w:r>
      <w:r w:rsidRPr="00EC569B">
        <w:rPr>
          <w:rFonts w:eastAsia="Times New Roman"/>
          <w:color w:val="000000"/>
          <w:spacing w:val="-2"/>
          <w:sz w:val="24"/>
          <w:szCs w:val="24"/>
        </w:rPr>
        <w:t xml:space="preserve"> ensure that if questions arise about the legal aspects of </w:t>
      </w:r>
      <w:proofErr w:type="spellStart"/>
      <w:r w:rsidRPr="00EC569B">
        <w:rPr>
          <w:rFonts w:eastAsia="Times New Roman"/>
          <w:color w:val="000000"/>
          <w:spacing w:val="-2"/>
          <w:sz w:val="24"/>
          <w:szCs w:val="24"/>
        </w:rPr>
        <w:t>AAHomecare’s</w:t>
      </w:r>
      <w:proofErr w:type="spellEnd"/>
      <w:r w:rsidRPr="00EC569B">
        <w:rPr>
          <w:rFonts w:eastAsia="Times New Roman"/>
          <w:color w:val="000000"/>
          <w:spacing w:val="-2"/>
          <w:sz w:val="24"/>
          <w:szCs w:val="24"/>
        </w:rPr>
        <w:t xml:space="preserve"> activities or your individual responsibilities under the antitrust laws, you seek advice and counsel from your own counsel or from the staff and counsel of AAHomecare.</w:t>
      </w:r>
    </w:p>
    <w:p w14:paraId="513D21F4" w14:textId="77777777" w:rsidR="00EC569B" w:rsidRPr="00EC569B" w:rsidRDefault="00EC569B" w:rsidP="00EC569B">
      <w:pPr>
        <w:ind w:right="720"/>
        <w:textAlignment w:val="baseline"/>
        <w:rPr>
          <w:rFonts w:eastAsia="Times New Roman"/>
          <w:color w:val="000000"/>
          <w:sz w:val="24"/>
          <w:szCs w:val="24"/>
        </w:rPr>
      </w:pPr>
    </w:p>
    <w:p w14:paraId="314C7784" w14:textId="77777777" w:rsidR="006035B8" w:rsidRPr="00EC569B" w:rsidRDefault="001470AA">
      <w:pPr>
        <w:ind w:right="720"/>
        <w:textAlignment w:val="baseline"/>
        <w:rPr>
          <w:rFonts w:eastAsia="Times New Roman"/>
          <w:color w:val="000000"/>
          <w:sz w:val="24"/>
          <w:szCs w:val="24"/>
        </w:rPr>
      </w:pPr>
      <w:r w:rsidRPr="00EC569B">
        <w:rPr>
          <w:rFonts w:eastAsia="Times New Roman"/>
          <w:color w:val="000000"/>
          <w:sz w:val="24"/>
          <w:szCs w:val="24"/>
        </w:rPr>
        <w:t xml:space="preserve">Any questions about this antitrust policy should be directed to </w:t>
      </w:r>
      <w:proofErr w:type="spellStart"/>
      <w:r w:rsidRPr="00EC569B">
        <w:rPr>
          <w:rFonts w:eastAsia="Times New Roman"/>
          <w:color w:val="000000"/>
          <w:sz w:val="24"/>
          <w:szCs w:val="24"/>
        </w:rPr>
        <w:t>AAHomecare’s</w:t>
      </w:r>
      <w:proofErr w:type="spellEnd"/>
      <w:r w:rsidRPr="00EC569B">
        <w:rPr>
          <w:rFonts w:eastAsia="Times New Roman"/>
          <w:color w:val="000000"/>
          <w:sz w:val="24"/>
          <w:szCs w:val="24"/>
        </w:rPr>
        <w:t xml:space="preserve"> President.</w:t>
      </w:r>
    </w:p>
    <w:sectPr w:rsidR="006035B8" w:rsidRPr="00EC569B" w:rsidSect="0066315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BF71" w14:textId="77777777" w:rsidR="00663150" w:rsidRDefault="00663150" w:rsidP="00EC569B">
      <w:r>
        <w:separator/>
      </w:r>
    </w:p>
  </w:endnote>
  <w:endnote w:type="continuationSeparator" w:id="0">
    <w:p w14:paraId="65F1ABF0" w14:textId="77777777" w:rsidR="00663150" w:rsidRDefault="00663150" w:rsidP="00EC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EAF9" w14:textId="77777777" w:rsidR="00663150" w:rsidRDefault="00663150" w:rsidP="00EC569B">
      <w:r>
        <w:separator/>
      </w:r>
    </w:p>
  </w:footnote>
  <w:footnote w:type="continuationSeparator" w:id="0">
    <w:p w14:paraId="61A0F662" w14:textId="77777777" w:rsidR="00663150" w:rsidRDefault="00663150" w:rsidP="00EC5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051B"/>
    <w:multiLevelType w:val="hybridMultilevel"/>
    <w:tmpl w:val="137C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429DD"/>
    <w:multiLevelType w:val="hybridMultilevel"/>
    <w:tmpl w:val="8B20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67606"/>
    <w:multiLevelType w:val="hybridMultilevel"/>
    <w:tmpl w:val="2242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390730">
    <w:abstractNumId w:val="2"/>
  </w:num>
  <w:num w:numId="2" w16cid:durableId="214660260">
    <w:abstractNumId w:val="0"/>
  </w:num>
  <w:num w:numId="3" w16cid:durableId="1066297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63"/>
    <w:rsid w:val="00103DAA"/>
    <w:rsid w:val="001470AA"/>
    <w:rsid w:val="00165621"/>
    <w:rsid w:val="003F0DE8"/>
    <w:rsid w:val="00413529"/>
    <w:rsid w:val="00550163"/>
    <w:rsid w:val="006035B8"/>
    <w:rsid w:val="00663150"/>
    <w:rsid w:val="006B5353"/>
    <w:rsid w:val="00755ADE"/>
    <w:rsid w:val="00864855"/>
    <w:rsid w:val="00BE09BF"/>
    <w:rsid w:val="00DF40C2"/>
    <w:rsid w:val="00EC569B"/>
    <w:rsid w:val="00FE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6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3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ADE"/>
    <w:pPr>
      <w:ind w:left="720"/>
      <w:contextualSpacing/>
    </w:pPr>
  </w:style>
  <w:style w:type="paragraph" w:styleId="BalloonText">
    <w:name w:val="Balloon Text"/>
    <w:basedOn w:val="Normal"/>
    <w:link w:val="BalloonTextChar"/>
    <w:uiPriority w:val="99"/>
    <w:semiHidden/>
    <w:unhideWhenUsed/>
    <w:rsid w:val="00755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ADE"/>
    <w:rPr>
      <w:rFonts w:ascii="Segoe UI" w:hAnsi="Segoe UI" w:cs="Segoe UI"/>
      <w:sz w:val="18"/>
      <w:szCs w:val="18"/>
    </w:rPr>
  </w:style>
  <w:style w:type="paragraph" w:styleId="Header">
    <w:name w:val="header"/>
    <w:basedOn w:val="Normal"/>
    <w:link w:val="HeaderChar"/>
    <w:uiPriority w:val="99"/>
    <w:unhideWhenUsed/>
    <w:rsid w:val="00EC569B"/>
    <w:pPr>
      <w:tabs>
        <w:tab w:val="center" w:pos="4680"/>
        <w:tab w:val="right" w:pos="9360"/>
      </w:tabs>
    </w:pPr>
  </w:style>
  <w:style w:type="character" w:customStyle="1" w:styleId="HeaderChar">
    <w:name w:val="Header Char"/>
    <w:basedOn w:val="DefaultParagraphFont"/>
    <w:link w:val="Header"/>
    <w:uiPriority w:val="99"/>
    <w:rsid w:val="00EC569B"/>
  </w:style>
  <w:style w:type="paragraph" w:styleId="Footer">
    <w:name w:val="footer"/>
    <w:basedOn w:val="Normal"/>
    <w:link w:val="FooterChar"/>
    <w:uiPriority w:val="99"/>
    <w:unhideWhenUsed/>
    <w:rsid w:val="00EC569B"/>
    <w:pPr>
      <w:tabs>
        <w:tab w:val="center" w:pos="4680"/>
        <w:tab w:val="right" w:pos="9360"/>
      </w:tabs>
    </w:pPr>
  </w:style>
  <w:style w:type="character" w:customStyle="1" w:styleId="FooterChar">
    <w:name w:val="Footer Char"/>
    <w:basedOn w:val="DefaultParagraphFont"/>
    <w:link w:val="Footer"/>
    <w:uiPriority w:val="99"/>
    <w:rsid w:val="00EC5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2024-01-12T17:24:00Z</dcterms:created>
  <dcterms:modified xsi:type="dcterms:W3CDTF">2024-01-12T17:24:00Z</dcterms:modified>
</cp:coreProperties>
</file>