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9FC0" w14:textId="77777777" w:rsidR="000012B3" w:rsidRPr="000012B3" w:rsidRDefault="000012B3" w:rsidP="001F371B">
      <w:pPr>
        <w:spacing w:after="0"/>
        <w:jc w:val="center"/>
        <w:rPr>
          <w:sz w:val="20"/>
          <w:szCs w:val="20"/>
          <w:u w:val="single"/>
        </w:rPr>
      </w:pPr>
    </w:p>
    <w:p w14:paraId="3E836669" w14:textId="64F4F868" w:rsidR="008D3270" w:rsidRDefault="00626BCA" w:rsidP="001F371B">
      <w:pPr>
        <w:spacing w:after="0"/>
        <w:jc w:val="center"/>
        <w:rPr>
          <w:sz w:val="36"/>
          <w:szCs w:val="36"/>
          <w:u w:val="single"/>
        </w:rPr>
      </w:pPr>
      <w:r>
        <w:rPr>
          <w:sz w:val="36"/>
          <w:szCs w:val="36"/>
          <w:u w:val="single"/>
        </w:rPr>
        <w:t>202</w:t>
      </w:r>
      <w:r w:rsidR="00A90F5A">
        <w:rPr>
          <w:sz w:val="36"/>
          <w:szCs w:val="36"/>
          <w:u w:val="single"/>
        </w:rPr>
        <w:t>5</w:t>
      </w:r>
      <w:r w:rsidR="008D3270" w:rsidRPr="00EE6367">
        <w:rPr>
          <w:sz w:val="36"/>
          <w:szCs w:val="36"/>
          <w:u w:val="single"/>
        </w:rPr>
        <w:t xml:space="preserve"> </w:t>
      </w:r>
      <w:r w:rsidR="00A90F5A">
        <w:rPr>
          <w:sz w:val="36"/>
          <w:szCs w:val="36"/>
          <w:u w:val="single"/>
        </w:rPr>
        <w:t xml:space="preserve">Payer Relations </w:t>
      </w:r>
      <w:r w:rsidR="008D3270" w:rsidRPr="00EE6367">
        <w:rPr>
          <w:sz w:val="36"/>
          <w:szCs w:val="36"/>
          <w:u w:val="single"/>
        </w:rPr>
        <w:t>Initiatives</w:t>
      </w:r>
    </w:p>
    <w:p w14:paraId="1AED7D41" w14:textId="77777777" w:rsidR="00EE6367" w:rsidRDefault="00EE6367" w:rsidP="001F371B">
      <w:pPr>
        <w:spacing w:after="0"/>
        <w:rPr>
          <w:sz w:val="24"/>
          <w:szCs w:val="24"/>
          <w:u w:val="single"/>
        </w:rPr>
      </w:pPr>
    </w:p>
    <w:p w14:paraId="72E18B4A" w14:textId="77777777" w:rsidR="00162BA1" w:rsidRDefault="00162BA1" w:rsidP="00162BA1">
      <w:pPr>
        <w:spacing w:after="0"/>
        <w:rPr>
          <w:b/>
          <w:bCs/>
          <w:sz w:val="24"/>
          <w:szCs w:val="24"/>
        </w:rPr>
      </w:pPr>
      <w:r w:rsidRPr="003E10A8">
        <w:rPr>
          <w:b/>
          <w:bCs/>
          <w:sz w:val="24"/>
          <w:szCs w:val="24"/>
        </w:rPr>
        <w:t>State Legislative</w:t>
      </w:r>
      <w:r>
        <w:rPr>
          <w:b/>
          <w:bCs/>
          <w:sz w:val="24"/>
          <w:szCs w:val="24"/>
        </w:rPr>
        <w:t>/Regulatory</w:t>
      </w:r>
      <w:r w:rsidRPr="003E10A8">
        <w:rPr>
          <w:b/>
          <w:bCs/>
          <w:sz w:val="24"/>
          <w:szCs w:val="24"/>
        </w:rPr>
        <w:t xml:space="preserve"> Efforts</w:t>
      </w:r>
      <w:r>
        <w:rPr>
          <w:b/>
          <w:bCs/>
          <w:sz w:val="24"/>
          <w:szCs w:val="24"/>
        </w:rPr>
        <w:t>:</w:t>
      </w:r>
    </w:p>
    <w:p w14:paraId="51A99D47" w14:textId="77777777" w:rsidR="00162BA1" w:rsidRPr="003E10A8" w:rsidRDefault="00162BA1" w:rsidP="00162BA1">
      <w:pPr>
        <w:pStyle w:val="ListParagraph"/>
        <w:numPr>
          <w:ilvl w:val="0"/>
          <w:numId w:val="32"/>
        </w:numPr>
        <w:spacing w:after="0"/>
        <w:rPr>
          <w:b/>
          <w:bCs/>
          <w:sz w:val="24"/>
          <w:szCs w:val="24"/>
        </w:rPr>
      </w:pPr>
      <w:r>
        <w:rPr>
          <w:sz w:val="24"/>
          <w:szCs w:val="24"/>
        </w:rPr>
        <w:t xml:space="preserve">Rate Stability – 25 states </w:t>
      </w:r>
    </w:p>
    <w:p w14:paraId="73038F52" w14:textId="77777777" w:rsidR="00162BA1" w:rsidRPr="003E10A8" w:rsidRDefault="00162BA1" w:rsidP="00162BA1">
      <w:pPr>
        <w:pStyle w:val="ListParagraph"/>
        <w:numPr>
          <w:ilvl w:val="0"/>
          <w:numId w:val="32"/>
        </w:numPr>
        <w:spacing w:after="0"/>
        <w:rPr>
          <w:b/>
          <w:bCs/>
          <w:sz w:val="24"/>
          <w:szCs w:val="24"/>
        </w:rPr>
      </w:pPr>
      <w:r>
        <w:rPr>
          <w:sz w:val="24"/>
          <w:szCs w:val="24"/>
        </w:rPr>
        <w:t xml:space="preserve">Sales Tax Exemption – 9 states </w:t>
      </w:r>
    </w:p>
    <w:p w14:paraId="6A9E3785" w14:textId="77777777" w:rsidR="00162BA1" w:rsidRPr="003E10A8" w:rsidRDefault="00162BA1" w:rsidP="00162BA1">
      <w:pPr>
        <w:pStyle w:val="ListParagraph"/>
        <w:numPr>
          <w:ilvl w:val="0"/>
          <w:numId w:val="32"/>
        </w:numPr>
        <w:spacing w:after="0"/>
        <w:rPr>
          <w:b/>
          <w:bCs/>
          <w:sz w:val="24"/>
          <w:szCs w:val="24"/>
        </w:rPr>
      </w:pPr>
      <w:r>
        <w:rPr>
          <w:sz w:val="24"/>
          <w:szCs w:val="24"/>
        </w:rPr>
        <w:t xml:space="preserve">Improving access and coverage for NIV, CGM, CRT, enteral, Incontinence, and other HME items and supplies. </w:t>
      </w:r>
    </w:p>
    <w:p w14:paraId="73076ECB" w14:textId="77777777" w:rsidR="00162BA1" w:rsidRDefault="00162BA1" w:rsidP="00596E1B">
      <w:pPr>
        <w:spacing w:after="0"/>
        <w:rPr>
          <w:b/>
          <w:bCs/>
          <w:sz w:val="24"/>
          <w:szCs w:val="24"/>
        </w:rPr>
      </w:pPr>
    </w:p>
    <w:p w14:paraId="10A195AF" w14:textId="44D88E86" w:rsidR="00596E1B" w:rsidRPr="00B2351B" w:rsidRDefault="00B2351B" w:rsidP="00596E1B">
      <w:pPr>
        <w:spacing w:after="0"/>
        <w:rPr>
          <w:sz w:val="24"/>
          <w:szCs w:val="24"/>
        </w:rPr>
      </w:pPr>
      <w:r w:rsidRPr="00B2351B">
        <w:rPr>
          <w:b/>
          <w:bCs/>
          <w:sz w:val="24"/>
          <w:szCs w:val="24"/>
        </w:rPr>
        <w:t xml:space="preserve">AAHomecare </w:t>
      </w:r>
      <w:r w:rsidR="00596E1B" w:rsidRPr="00B2351B">
        <w:rPr>
          <w:b/>
          <w:bCs/>
          <w:sz w:val="24"/>
          <w:szCs w:val="24"/>
        </w:rPr>
        <w:t>P</w:t>
      </w:r>
      <w:r w:rsidRPr="00B2351B">
        <w:rPr>
          <w:b/>
          <w:bCs/>
          <w:sz w:val="24"/>
          <w:szCs w:val="24"/>
        </w:rPr>
        <w:t>ayer</w:t>
      </w:r>
      <w:r w:rsidR="00596E1B" w:rsidRPr="00B2351B">
        <w:rPr>
          <w:b/>
          <w:bCs/>
          <w:sz w:val="24"/>
          <w:szCs w:val="24"/>
        </w:rPr>
        <w:t xml:space="preserve"> Transparency Portal</w:t>
      </w:r>
      <w:r w:rsidR="00FE041B">
        <w:rPr>
          <w:b/>
          <w:bCs/>
          <w:sz w:val="24"/>
          <w:szCs w:val="24"/>
        </w:rPr>
        <w:t>:</w:t>
      </w:r>
      <w:r w:rsidR="00596E1B" w:rsidRPr="00B2351B">
        <w:rPr>
          <w:sz w:val="24"/>
          <w:szCs w:val="24"/>
        </w:rPr>
        <w:t xml:space="preserve"> Launched 1/30/2025: </w:t>
      </w:r>
      <w:r w:rsidRPr="00B2351B">
        <w:rPr>
          <w:sz w:val="24"/>
          <w:szCs w:val="24"/>
        </w:rPr>
        <w:t xml:space="preserve">The </w:t>
      </w:r>
      <w:hyperlink r:id="rId7" w:history="1">
        <w:r w:rsidRPr="00B2351B">
          <w:rPr>
            <w:rStyle w:val="Hyperlink"/>
            <w:b/>
            <w:bCs/>
            <w:sz w:val="24"/>
            <w:szCs w:val="24"/>
          </w:rPr>
          <w:t>portal</w:t>
        </w:r>
      </w:hyperlink>
      <w:r w:rsidRPr="00B2351B">
        <w:rPr>
          <w:rStyle w:val="Strong"/>
          <w:sz w:val="24"/>
          <w:szCs w:val="24"/>
        </w:rPr>
        <w:t> </w:t>
      </w:r>
      <w:r w:rsidRPr="00B2351B">
        <w:rPr>
          <w:sz w:val="24"/>
          <w:szCs w:val="24"/>
        </w:rPr>
        <w:t>is a comprehensive tool developed in partnership with Medlyze Technologies to provide our provider members with clear visibility into commercial contracted rates for DMEPOS billing codes.</w:t>
      </w:r>
    </w:p>
    <w:p w14:paraId="752E52D7" w14:textId="77777777" w:rsidR="00596E1B" w:rsidRDefault="00596E1B" w:rsidP="00EE6367">
      <w:pPr>
        <w:spacing w:after="0"/>
        <w:rPr>
          <w:b/>
          <w:bCs/>
          <w:sz w:val="24"/>
          <w:szCs w:val="24"/>
        </w:rPr>
      </w:pPr>
    </w:p>
    <w:p w14:paraId="51AE4601" w14:textId="0C7D11DC" w:rsidR="006F48AF" w:rsidRDefault="006F48AF" w:rsidP="006F48AF">
      <w:pPr>
        <w:spacing w:after="0"/>
        <w:rPr>
          <w:sz w:val="24"/>
          <w:szCs w:val="24"/>
        </w:rPr>
      </w:pPr>
      <w:r w:rsidRPr="007767CD">
        <w:rPr>
          <w:b/>
          <w:bCs/>
          <w:sz w:val="24"/>
          <w:szCs w:val="24"/>
        </w:rPr>
        <w:t>COPD/NIV Study</w:t>
      </w:r>
      <w:r w:rsidR="00FE041B">
        <w:rPr>
          <w:sz w:val="24"/>
          <w:szCs w:val="24"/>
        </w:rPr>
        <w:t>:</w:t>
      </w:r>
      <w:r>
        <w:rPr>
          <w:sz w:val="24"/>
          <w:szCs w:val="24"/>
        </w:rPr>
        <w:t xml:space="preserve"> In process with Dobson Davanzo.  </w:t>
      </w:r>
      <w:r w:rsidR="003205CF" w:rsidRPr="003205CF">
        <w:rPr>
          <w:sz w:val="24"/>
          <w:szCs w:val="24"/>
        </w:rPr>
        <w:t>The study is looking at NIV and the COPD population.  It is focusing on outcomes from NIV for people living with COPD and CRF and compare patients with early NIV intervention to those who did not receive timely access to care.  The study is also looking at both Medicare FFS and Medicare Advantage data.</w:t>
      </w:r>
      <w:r w:rsidR="00DB6BAB">
        <w:rPr>
          <w:sz w:val="24"/>
          <w:szCs w:val="24"/>
        </w:rPr>
        <w:t xml:space="preserve">  An initial summary was provided to CMS via NIV NCA comments. </w:t>
      </w:r>
    </w:p>
    <w:p w14:paraId="030D34F5" w14:textId="77777777" w:rsidR="006F48AF" w:rsidRDefault="006F48AF" w:rsidP="00EE6367">
      <w:pPr>
        <w:spacing w:after="0"/>
        <w:rPr>
          <w:b/>
          <w:bCs/>
          <w:sz w:val="24"/>
          <w:szCs w:val="24"/>
        </w:rPr>
      </w:pPr>
    </w:p>
    <w:p w14:paraId="01881F3E" w14:textId="4420D109" w:rsidR="00F673B0" w:rsidRPr="00F673B0" w:rsidRDefault="00F673B0" w:rsidP="00EE6367">
      <w:pPr>
        <w:spacing w:after="0"/>
        <w:rPr>
          <w:sz w:val="24"/>
          <w:szCs w:val="24"/>
        </w:rPr>
      </w:pPr>
      <w:r>
        <w:rPr>
          <w:b/>
          <w:bCs/>
          <w:sz w:val="24"/>
          <w:szCs w:val="24"/>
        </w:rPr>
        <w:t>Synapse/UHC</w:t>
      </w:r>
      <w:r w:rsidR="00FE041B">
        <w:rPr>
          <w:b/>
          <w:bCs/>
          <w:sz w:val="24"/>
          <w:szCs w:val="24"/>
        </w:rPr>
        <w:t>:</w:t>
      </w:r>
      <w:r>
        <w:rPr>
          <w:b/>
          <w:bCs/>
          <w:sz w:val="24"/>
          <w:szCs w:val="24"/>
        </w:rPr>
        <w:t xml:space="preserve"> </w:t>
      </w:r>
      <w:r w:rsidR="00596E1B">
        <w:rPr>
          <w:sz w:val="24"/>
          <w:szCs w:val="24"/>
        </w:rPr>
        <w:t>Referral source and supplier survey complete</w:t>
      </w:r>
      <w:r w:rsidR="003205CF">
        <w:rPr>
          <w:sz w:val="24"/>
          <w:szCs w:val="24"/>
        </w:rPr>
        <w:t xml:space="preserve">.  </w:t>
      </w:r>
      <w:r w:rsidR="00DB6BAB">
        <w:rPr>
          <w:sz w:val="24"/>
          <w:szCs w:val="24"/>
        </w:rPr>
        <w:t>AAH m</w:t>
      </w:r>
      <w:r w:rsidR="0047336D">
        <w:rPr>
          <w:sz w:val="24"/>
          <w:szCs w:val="24"/>
        </w:rPr>
        <w:t>et</w:t>
      </w:r>
      <w:r>
        <w:rPr>
          <w:sz w:val="24"/>
          <w:szCs w:val="24"/>
        </w:rPr>
        <w:t xml:space="preserve"> with UHC.</w:t>
      </w:r>
      <w:r w:rsidR="00DB6BAB">
        <w:rPr>
          <w:sz w:val="24"/>
          <w:szCs w:val="24"/>
        </w:rPr>
        <w:t xml:space="preserve">  </w:t>
      </w:r>
      <w:r w:rsidR="008E5CD4">
        <w:rPr>
          <w:sz w:val="24"/>
          <w:szCs w:val="24"/>
        </w:rPr>
        <w:t xml:space="preserve">Physician offices met with UHC </w:t>
      </w:r>
      <w:r w:rsidR="00DB6BAB">
        <w:rPr>
          <w:sz w:val="24"/>
          <w:szCs w:val="24"/>
        </w:rPr>
        <w:t>to discuss platform.</w:t>
      </w:r>
      <w:r w:rsidR="008E5CD4">
        <w:rPr>
          <w:sz w:val="24"/>
          <w:szCs w:val="24"/>
        </w:rPr>
        <w:t xml:space="preserve">  PR effort underway. </w:t>
      </w:r>
      <w:r w:rsidR="00DB6BAB">
        <w:rPr>
          <w:sz w:val="24"/>
          <w:szCs w:val="24"/>
        </w:rPr>
        <w:t xml:space="preserve"> </w:t>
      </w:r>
    </w:p>
    <w:p w14:paraId="088D19AB" w14:textId="77777777" w:rsidR="00F673B0" w:rsidRDefault="00F673B0" w:rsidP="00EE6367">
      <w:pPr>
        <w:spacing w:after="0"/>
        <w:rPr>
          <w:b/>
          <w:bCs/>
          <w:sz w:val="24"/>
          <w:szCs w:val="24"/>
        </w:rPr>
      </w:pPr>
    </w:p>
    <w:p w14:paraId="2205AD40" w14:textId="09B1AC59" w:rsidR="00947589" w:rsidRPr="00947589" w:rsidRDefault="00947589" w:rsidP="00F673B0">
      <w:pPr>
        <w:spacing w:after="0"/>
        <w:rPr>
          <w:sz w:val="24"/>
          <w:szCs w:val="24"/>
        </w:rPr>
      </w:pPr>
      <w:r>
        <w:rPr>
          <w:b/>
          <w:bCs/>
          <w:sz w:val="24"/>
          <w:szCs w:val="24"/>
        </w:rPr>
        <w:t>Tricare</w:t>
      </w:r>
      <w:r w:rsidR="00FE041B">
        <w:rPr>
          <w:b/>
          <w:bCs/>
          <w:sz w:val="24"/>
          <w:szCs w:val="24"/>
        </w:rPr>
        <w:t>:</w:t>
      </w:r>
      <w:r>
        <w:rPr>
          <w:b/>
          <w:bCs/>
          <w:sz w:val="24"/>
          <w:szCs w:val="24"/>
        </w:rPr>
        <w:t xml:space="preserve"> </w:t>
      </w:r>
      <w:r>
        <w:rPr>
          <w:sz w:val="24"/>
          <w:szCs w:val="24"/>
        </w:rPr>
        <w:t xml:space="preserve">Addressing Tricare West transition issues with new TriWest contractor.  </w:t>
      </w:r>
      <w:r w:rsidR="0047336D">
        <w:rPr>
          <w:sz w:val="24"/>
          <w:szCs w:val="24"/>
        </w:rPr>
        <w:t xml:space="preserve">Met with TriWest.  </w:t>
      </w:r>
      <w:r>
        <w:rPr>
          <w:sz w:val="24"/>
          <w:szCs w:val="24"/>
        </w:rPr>
        <w:t xml:space="preserve">Continuing regular meetings with Tricare East contractor Humana Military to monitor claims processing trends.  </w:t>
      </w:r>
    </w:p>
    <w:p w14:paraId="3FF1D420" w14:textId="77777777" w:rsidR="00947589" w:rsidRDefault="00947589" w:rsidP="00F673B0">
      <w:pPr>
        <w:spacing w:after="0"/>
        <w:rPr>
          <w:b/>
          <w:bCs/>
          <w:sz w:val="24"/>
          <w:szCs w:val="24"/>
        </w:rPr>
      </w:pPr>
    </w:p>
    <w:p w14:paraId="680FFB2E" w14:textId="34AE6F17" w:rsidR="00F673B0" w:rsidRPr="00F673B0" w:rsidRDefault="00F673B0" w:rsidP="00F673B0">
      <w:pPr>
        <w:spacing w:after="0"/>
        <w:rPr>
          <w:sz w:val="24"/>
          <w:szCs w:val="24"/>
        </w:rPr>
      </w:pPr>
      <w:r w:rsidRPr="00F673B0">
        <w:rPr>
          <w:b/>
          <w:bCs/>
          <w:sz w:val="24"/>
          <w:szCs w:val="24"/>
        </w:rPr>
        <w:t xml:space="preserve">CMS </w:t>
      </w:r>
      <w:r w:rsidR="00596E1B">
        <w:rPr>
          <w:b/>
          <w:bCs/>
          <w:sz w:val="24"/>
          <w:szCs w:val="24"/>
        </w:rPr>
        <w:t xml:space="preserve">2026 </w:t>
      </w:r>
      <w:r w:rsidRPr="00F673B0">
        <w:rPr>
          <w:b/>
          <w:bCs/>
          <w:sz w:val="24"/>
          <w:szCs w:val="24"/>
        </w:rPr>
        <w:t>Medicare Advantage</w:t>
      </w:r>
      <w:r w:rsidR="00596E1B">
        <w:rPr>
          <w:b/>
          <w:bCs/>
          <w:sz w:val="24"/>
          <w:szCs w:val="24"/>
        </w:rPr>
        <w:t xml:space="preserve"> </w:t>
      </w:r>
      <w:r w:rsidR="008E5CD4">
        <w:rPr>
          <w:b/>
          <w:bCs/>
          <w:sz w:val="24"/>
          <w:szCs w:val="24"/>
        </w:rPr>
        <w:t>Final</w:t>
      </w:r>
      <w:r w:rsidR="00596E1B">
        <w:rPr>
          <w:b/>
          <w:bCs/>
          <w:sz w:val="24"/>
          <w:szCs w:val="24"/>
        </w:rPr>
        <w:t xml:space="preserve"> Rule </w:t>
      </w:r>
      <w:r w:rsidRPr="00F673B0">
        <w:rPr>
          <w:sz w:val="24"/>
          <w:szCs w:val="24"/>
        </w:rPr>
        <w:t xml:space="preserve">– </w:t>
      </w:r>
      <w:hyperlink r:id="rId8" w:history="1">
        <w:r w:rsidRPr="00B2351B">
          <w:rPr>
            <w:rStyle w:val="Hyperlink"/>
            <w:b/>
            <w:bCs/>
            <w:sz w:val="24"/>
            <w:szCs w:val="24"/>
          </w:rPr>
          <w:t>Comments</w:t>
        </w:r>
      </w:hyperlink>
      <w:r w:rsidRPr="00F673B0">
        <w:rPr>
          <w:sz w:val="24"/>
          <w:szCs w:val="24"/>
        </w:rPr>
        <w:t xml:space="preserve"> submitted.  </w:t>
      </w:r>
      <w:r w:rsidR="000012B3">
        <w:rPr>
          <w:sz w:val="24"/>
          <w:szCs w:val="24"/>
        </w:rPr>
        <w:t xml:space="preserve">Final rule, released </w:t>
      </w:r>
      <w:r w:rsidR="008E5CD4">
        <w:rPr>
          <w:sz w:val="24"/>
          <w:szCs w:val="24"/>
        </w:rPr>
        <w:t>without major provisions we were tracking from the proposed rule</w:t>
      </w:r>
      <w:r w:rsidR="000012B3">
        <w:rPr>
          <w:sz w:val="24"/>
          <w:szCs w:val="24"/>
        </w:rPr>
        <w:t>.</w:t>
      </w:r>
      <w:r w:rsidR="008E5CD4">
        <w:rPr>
          <w:sz w:val="24"/>
          <w:szCs w:val="24"/>
        </w:rPr>
        <w:t xml:space="preserve">  Final rule analysis </w:t>
      </w:r>
      <w:hyperlink r:id="rId9" w:history="1">
        <w:r w:rsidR="008E5CD4" w:rsidRPr="008E5CD4">
          <w:rPr>
            <w:rStyle w:val="Hyperlink"/>
            <w:b/>
            <w:bCs/>
            <w:sz w:val="24"/>
            <w:szCs w:val="24"/>
          </w:rPr>
          <w:t>here</w:t>
        </w:r>
      </w:hyperlink>
      <w:r w:rsidR="008E5CD4">
        <w:rPr>
          <w:sz w:val="24"/>
          <w:szCs w:val="24"/>
        </w:rPr>
        <w:t>.</w:t>
      </w:r>
    </w:p>
    <w:p w14:paraId="00617F91" w14:textId="77777777" w:rsidR="00F673B0" w:rsidRDefault="00F673B0" w:rsidP="00EE6367">
      <w:pPr>
        <w:spacing w:after="0"/>
        <w:rPr>
          <w:b/>
          <w:bCs/>
          <w:sz w:val="24"/>
          <w:szCs w:val="24"/>
        </w:rPr>
      </w:pPr>
    </w:p>
    <w:p w14:paraId="342C2119" w14:textId="60A24563" w:rsidR="00E718C5" w:rsidRPr="00E718C5" w:rsidRDefault="00E718C5" w:rsidP="006B3B13">
      <w:pPr>
        <w:spacing w:after="0" w:line="240" w:lineRule="auto"/>
        <w:contextualSpacing/>
        <w:rPr>
          <w:rFonts w:ascii="Calibri" w:hAnsi="Calibri" w:cs="Calibri"/>
          <w:sz w:val="24"/>
          <w:szCs w:val="24"/>
        </w:rPr>
      </w:pPr>
      <w:r>
        <w:rPr>
          <w:rFonts w:ascii="Calibri" w:hAnsi="Calibri" w:cs="Calibri"/>
          <w:b/>
          <w:bCs/>
          <w:sz w:val="24"/>
          <w:szCs w:val="24"/>
        </w:rPr>
        <w:t xml:space="preserve">Federal Medicaid Funding Impact Analysis – </w:t>
      </w:r>
      <w:r>
        <w:rPr>
          <w:rFonts w:ascii="Calibri" w:hAnsi="Calibri" w:cs="Calibri"/>
          <w:sz w:val="24"/>
          <w:szCs w:val="24"/>
        </w:rPr>
        <w:t>State scan of potential cut impacts by state completed.  Individual state letters created for E&amp;C member districts and state</w:t>
      </w:r>
      <w:r w:rsidR="00902F54">
        <w:rPr>
          <w:rFonts w:ascii="Calibri" w:hAnsi="Calibri" w:cs="Calibri"/>
          <w:sz w:val="24"/>
          <w:szCs w:val="24"/>
        </w:rPr>
        <w:t>.</w:t>
      </w:r>
      <w:r w:rsidR="00D950F4">
        <w:rPr>
          <w:rFonts w:ascii="Calibri" w:hAnsi="Calibri" w:cs="Calibri"/>
          <w:sz w:val="24"/>
          <w:szCs w:val="24"/>
        </w:rPr>
        <w:t xml:space="preserve">  Additional state specific resources in process. </w:t>
      </w:r>
    </w:p>
    <w:p w14:paraId="0F829F27" w14:textId="77777777" w:rsidR="00E718C5" w:rsidRDefault="00E718C5" w:rsidP="006B3B13">
      <w:pPr>
        <w:spacing w:after="0" w:line="240" w:lineRule="auto"/>
        <w:contextualSpacing/>
        <w:rPr>
          <w:rFonts w:ascii="Calibri" w:hAnsi="Calibri" w:cs="Calibri"/>
          <w:b/>
          <w:bCs/>
          <w:sz w:val="24"/>
          <w:szCs w:val="24"/>
        </w:rPr>
      </w:pPr>
    </w:p>
    <w:p w14:paraId="1E17CA3C" w14:textId="74629BC4" w:rsidR="00EC2722" w:rsidRDefault="00EC2722" w:rsidP="006B3B13">
      <w:pPr>
        <w:spacing w:after="0" w:line="240" w:lineRule="auto"/>
        <w:contextualSpacing/>
        <w:rPr>
          <w:rFonts w:ascii="Calibri" w:hAnsi="Calibri" w:cs="Calibri"/>
          <w:sz w:val="24"/>
          <w:szCs w:val="24"/>
        </w:rPr>
      </w:pPr>
      <w:r>
        <w:rPr>
          <w:rFonts w:ascii="Calibri" w:hAnsi="Calibri" w:cs="Calibri"/>
          <w:b/>
          <w:bCs/>
          <w:sz w:val="24"/>
          <w:szCs w:val="24"/>
        </w:rPr>
        <w:t xml:space="preserve">Aetna PAP Compliance Policy – </w:t>
      </w:r>
      <w:r>
        <w:rPr>
          <w:rFonts w:ascii="Calibri" w:hAnsi="Calibri" w:cs="Calibri"/>
          <w:sz w:val="24"/>
          <w:szCs w:val="24"/>
        </w:rPr>
        <w:t>Working with Aetna to rescind their published PAP compliance policy requiring G codes to prove compliance.</w:t>
      </w:r>
      <w:r w:rsidR="008E5CD4">
        <w:rPr>
          <w:rFonts w:ascii="Calibri" w:hAnsi="Calibri" w:cs="Calibri"/>
          <w:sz w:val="24"/>
          <w:szCs w:val="24"/>
        </w:rPr>
        <w:t xml:space="preserve">  Met with Aetna and they indicated they are leaning toward revising this policy to more closely align with Medicare and utilize a modifier as opposed to G codes to show compliance. </w:t>
      </w:r>
    </w:p>
    <w:p w14:paraId="6D6E85FF" w14:textId="77777777" w:rsidR="00EC2722" w:rsidRPr="00EC2722" w:rsidRDefault="00EC2722" w:rsidP="006B3B13">
      <w:pPr>
        <w:spacing w:after="0" w:line="240" w:lineRule="auto"/>
        <w:contextualSpacing/>
        <w:rPr>
          <w:rFonts w:ascii="Calibri" w:hAnsi="Calibri" w:cs="Calibri"/>
          <w:sz w:val="24"/>
          <w:szCs w:val="24"/>
        </w:rPr>
      </w:pPr>
    </w:p>
    <w:p w14:paraId="3924E80F" w14:textId="1AFE0523" w:rsidR="006B3B13" w:rsidRPr="006B3B13" w:rsidRDefault="006B3B13" w:rsidP="006B3B13">
      <w:pPr>
        <w:spacing w:after="0" w:line="240" w:lineRule="auto"/>
        <w:contextualSpacing/>
        <w:rPr>
          <w:b/>
          <w:bCs/>
          <w:sz w:val="24"/>
          <w:szCs w:val="24"/>
        </w:rPr>
      </w:pPr>
      <w:r w:rsidRPr="006B3B13">
        <w:rPr>
          <w:rFonts w:ascii="Calibri" w:hAnsi="Calibri" w:cs="Calibri"/>
          <w:b/>
          <w:bCs/>
          <w:sz w:val="24"/>
          <w:szCs w:val="24"/>
        </w:rPr>
        <w:t>Medicare Advantage 2025 Final Rule (CMS-4205-F)</w:t>
      </w:r>
    </w:p>
    <w:p w14:paraId="6C84F4B9" w14:textId="77777777" w:rsidR="00E7348D" w:rsidRPr="00E7348D" w:rsidRDefault="006B3B13" w:rsidP="00E7348D">
      <w:pPr>
        <w:pStyle w:val="ListParagraph"/>
        <w:numPr>
          <w:ilvl w:val="0"/>
          <w:numId w:val="28"/>
        </w:numPr>
        <w:spacing w:after="0" w:line="240" w:lineRule="auto"/>
        <w:rPr>
          <w:rFonts w:ascii="Calibri" w:hAnsi="Calibri" w:cs="Calibri"/>
          <w:b/>
          <w:bCs/>
          <w:sz w:val="24"/>
          <w:szCs w:val="24"/>
        </w:rPr>
      </w:pPr>
      <w:hyperlink r:id="rId10" w:history="1">
        <w:r w:rsidRPr="00E7348D">
          <w:rPr>
            <w:b/>
            <w:bCs/>
            <w:color w:val="0563C1" w:themeColor="hyperlink"/>
            <w:sz w:val="24"/>
            <w:szCs w:val="24"/>
            <w:u w:val="single"/>
          </w:rPr>
          <w:t>Fact sheet</w:t>
        </w:r>
      </w:hyperlink>
    </w:p>
    <w:p w14:paraId="62AEA400" w14:textId="4136C088" w:rsidR="006B3B13" w:rsidRPr="00E7348D" w:rsidRDefault="006B3B13" w:rsidP="00E7348D">
      <w:pPr>
        <w:pStyle w:val="ListParagraph"/>
        <w:numPr>
          <w:ilvl w:val="0"/>
          <w:numId w:val="28"/>
        </w:numPr>
        <w:spacing w:after="0" w:line="240" w:lineRule="auto"/>
        <w:rPr>
          <w:rFonts w:ascii="Calibri" w:hAnsi="Calibri" w:cs="Calibri"/>
          <w:b/>
          <w:bCs/>
          <w:sz w:val="24"/>
          <w:szCs w:val="24"/>
        </w:rPr>
      </w:pPr>
      <w:hyperlink r:id="rId11" w:tgtFrame="_blank" w:history="1">
        <w:r w:rsidRPr="00E7348D">
          <w:rPr>
            <w:rFonts w:ascii="Calibri" w:eastAsia="Times New Roman" w:hAnsi="Calibri" w:cs="Calibri"/>
            <w:b/>
            <w:bCs/>
            <w:color w:val="0070C0"/>
            <w:sz w:val="24"/>
            <w:szCs w:val="24"/>
            <w:u w:val="single"/>
          </w:rPr>
          <w:t>AAHomecare Rule Summary</w:t>
        </w:r>
      </w:hyperlink>
    </w:p>
    <w:p w14:paraId="2E243CB2" w14:textId="77777777" w:rsidR="007767CD" w:rsidRDefault="007767CD" w:rsidP="00EE6367">
      <w:pPr>
        <w:spacing w:after="0"/>
        <w:rPr>
          <w:sz w:val="24"/>
          <w:szCs w:val="24"/>
        </w:rPr>
      </w:pPr>
    </w:p>
    <w:p w14:paraId="144FEC57" w14:textId="463F2C14" w:rsidR="0005654E" w:rsidRPr="0005654E" w:rsidRDefault="0005654E" w:rsidP="0005654E">
      <w:pPr>
        <w:spacing w:after="0" w:line="240" w:lineRule="auto"/>
        <w:contextualSpacing/>
        <w:rPr>
          <w:b/>
          <w:bCs/>
          <w:sz w:val="24"/>
          <w:szCs w:val="24"/>
        </w:rPr>
      </w:pPr>
      <w:r w:rsidRPr="0005654E">
        <w:rPr>
          <w:rFonts w:ascii="Calibri" w:hAnsi="Calibri" w:cs="Calibri"/>
          <w:b/>
          <w:bCs/>
          <w:sz w:val="24"/>
          <w:szCs w:val="24"/>
        </w:rPr>
        <w:t xml:space="preserve">Ensuring Access to Medicaid Services </w:t>
      </w:r>
      <w:r w:rsidRPr="0005654E">
        <w:rPr>
          <w:rFonts w:ascii="Calibri" w:hAnsi="Calibri" w:cs="Calibri"/>
          <w:b/>
          <w:bCs/>
          <w:color w:val="000000"/>
          <w:sz w:val="24"/>
          <w:szCs w:val="24"/>
        </w:rPr>
        <w:t>(Access Rule – CMS-2442-F)</w:t>
      </w:r>
    </w:p>
    <w:p w14:paraId="1A632FBA" w14:textId="77777777" w:rsidR="0005654E" w:rsidRPr="0005654E" w:rsidRDefault="0005654E" w:rsidP="0005654E">
      <w:pPr>
        <w:pStyle w:val="ListParagraph"/>
        <w:numPr>
          <w:ilvl w:val="0"/>
          <w:numId w:val="30"/>
        </w:numPr>
        <w:spacing w:after="100" w:afterAutospacing="1" w:line="240" w:lineRule="auto"/>
        <w:rPr>
          <w:rFonts w:ascii="Calibri" w:eastAsia="Times New Roman" w:hAnsi="Calibri" w:cs="Calibri"/>
          <w:b/>
          <w:bCs/>
          <w:color w:val="0070C0"/>
          <w:sz w:val="24"/>
          <w:szCs w:val="24"/>
        </w:rPr>
      </w:pPr>
      <w:hyperlink r:id="rId12" w:tgtFrame="_blank" w:history="1">
        <w:r w:rsidRPr="0005654E">
          <w:rPr>
            <w:rFonts w:ascii="Calibri" w:hAnsi="Calibri" w:cs="Calibri"/>
            <w:b/>
            <w:bCs/>
            <w:color w:val="0563C1" w:themeColor="hyperlink"/>
            <w:sz w:val="24"/>
            <w:szCs w:val="24"/>
            <w:u w:val="single"/>
          </w:rPr>
          <w:t>Fact sheet</w:t>
        </w:r>
      </w:hyperlink>
      <w:r w:rsidRPr="0005654E">
        <w:rPr>
          <w:rFonts w:ascii="Calibri" w:hAnsi="Calibri" w:cs="Calibri"/>
          <w:b/>
          <w:bCs/>
          <w:color w:val="000000"/>
          <w:sz w:val="24"/>
          <w:szCs w:val="24"/>
        </w:rPr>
        <w:t xml:space="preserve"> and </w:t>
      </w:r>
      <w:hyperlink r:id="rId13" w:tgtFrame="_blank" w:history="1">
        <w:r w:rsidRPr="0005654E">
          <w:rPr>
            <w:rFonts w:ascii="Calibri" w:hAnsi="Calibri" w:cs="Calibri"/>
            <w:b/>
            <w:bCs/>
            <w:color w:val="0563C1" w:themeColor="hyperlink"/>
            <w:sz w:val="24"/>
            <w:szCs w:val="24"/>
            <w:u w:val="single"/>
          </w:rPr>
          <w:t>applicability dates table</w:t>
        </w:r>
      </w:hyperlink>
    </w:p>
    <w:p w14:paraId="4FC411A9" w14:textId="5596EF32" w:rsidR="0005654E" w:rsidRPr="0005654E" w:rsidRDefault="0005654E" w:rsidP="0005654E">
      <w:pPr>
        <w:pStyle w:val="ListParagraph"/>
        <w:numPr>
          <w:ilvl w:val="0"/>
          <w:numId w:val="30"/>
        </w:numPr>
        <w:spacing w:before="100" w:beforeAutospacing="1" w:after="100" w:afterAutospacing="1" w:line="240" w:lineRule="auto"/>
        <w:rPr>
          <w:rFonts w:ascii="Calibri" w:eastAsia="Times New Roman" w:hAnsi="Calibri" w:cs="Calibri"/>
          <w:b/>
          <w:bCs/>
          <w:color w:val="0070C0"/>
          <w:sz w:val="24"/>
          <w:szCs w:val="24"/>
        </w:rPr>
      </w:pPr>
      <w:hyperlink r:id="rId14" w:tgtFrame="_blank" w:history="1">
        <w:r w:rsidRPr="0005654E">
          <w:rPr>
            <w:rFonts w:ascii="Calibri" w:eastAsia="Times New Roman" w:hAnsi="Calibri" w:cs="Calibri"/>
            <w:b/>
            <w:bCs/>
            <w:color w:val="0070C0"/>
            <w:sz w:val="24"/>
            <w:szCs w:val="24"/>
            <w:u w:val="single"/>
          </w:rPr>
          <w:t>AAHomecare rule summary</w:t>
        </w:r>
      </w:hyperlink>
    </w:p>
    <w:p w14:paraId="2FE654D7" w14:textId="4F0D9231" w:rsidR="0005654E" w:rsidRPr="0005654E" w:rsidRDefault="0005654E" w:rsidP="0005654E">
      <w:pPr>
        <w:spacing w:after="0" w:line="240" w:lineRule="auto"/>
        <w:contextualSpacing/>
        <w:rPr>
          <w:b/>
          <w:bCs/>
          <w:sz w:val="24"/>
          <w:szCs w:val="24"/>
        </w:rPr>
      </w:pPr>
      <w:r w:rsidRPr="0005654E">
        <w:rPr>
          <w:rFonts w:ascii="Calibri" w:hAnsi="Calibri" w:cs="Calibri"/>
          <w:b/>
          <w:bCs/>
          <w:sz w:val="24"/>
          <w:szCs w:val="24"/>
        </w:rPr>
        <w:t xml:space="preserve">Medicaid and Children’s Health Insurance Program Managed Care Access, Finance, and Quality </w:t>
      </w:r>
      <w:r w:rsidRPr="0005654E">
        <w:rPr>
          <w:rFonts w:ascii="Calibri" w:hAnsi="Calibri" w:cs="Calibri"/>
          <w:b/>
          <w:bCs/>
          <w:color w:val="000000"/>
          <w:sz w:val="24"/>
          <w:szCs w:val="24"/>
        </w:rPr>
        <w:t>(Managed Care Rule – CMS-2439-F)</w:t>
      </w:r>
    </w:p>
    <w:p w14:paraId="376D6285" w14:textId="77777777" w:rsidR="0005654E" w:rsidRPr="0005654E" w:rsidRDefault="0005654E" w:rsidP="0005654E">
      <w:pPr>
        <w:pStyle w:val="ListParagraph"/>
        <w:numPr>
          <w:ilvl w:val="0"/>
          <w:numId w:val="31"/>
        </w:numPr>
        <w:spacing w:after="0" w:line="240" w:lineRule="auto"/>
        <w:rPr>
          <w:b/>
          <w:bCs/>
          <w:sz w:val="24"/>
          <w:szCs w:val="24"/>
        </w:rPr>
      </w:pPr>
      <w:r w:rsidRPr="0005654E">
        <w:rPr>
          <w:rFonts w:ascii="Calibri" w:hAnsi="Calibri" w:cs="Calibri"/>
          <w:b/>
          <w:bCs/>
          <w:color w:val="000000"/>
          <w:sz w:val="24"/>
          <w:szCs w:val="24"/>
        </w:rPr>
        <w:t>F</w:t>
      </w:r>
      <w:hyperlink r:id="rId15" w:tgtFrame="_blank" w:history="1">
        <w:r w:rsidRPr="0005654E">
          <w:rPr>
            <w:rFonts w:ascii="Calibri" w:hAnsi="Calibri" w:cs="Calibri"/>
            <w:b/>
            <w:bCs/>
            <w:color w:val="0563C1" w:themeColor="hyperlink"/>
            <w:sz w:val="24"/>
            <w:szCs w:val="24"/>
            <w:u w:val="single"/>
          </w:rPr>
          <w:t>act sheet</w:t>
        </w:r>
      </w:hyperlink>
      <w:r w:rsidRPr="0005654E">
        <w:rPr>
          <w:rFonts w:ascii="Calibri" w:hAnsi="Calibri" w:cs="Calibri"/>
          <w:b/>
          <w:bCs/>
          <w:color w:val="000000"/>
          <w:sz w:val="24"/>
          <w:szCs w:val="24"/>
        </w:rPr>
        <w:t xml:space="preserve"> and </w:t>
      </w:r>
      <w:hyperlink r:id="rId16" w:tgtFrame="_blank" w:history="1">
        <w:r w:rsidRPr="0005654E">
          <w:rPr>
            <w:rFonts w:ascii="Calibri" w:hAnsi="Calibri" w:cs="Calibri"/>
            <w:b/>
            <w:bCs/>
            <w:color w:val="0563C1" w:themeColor="hyperlink"/>
            <w:sz w:val="24"/>
            <w:szCs w:val="24"/>
            <w:u w:val="single"/>
          </w:rPr>
          <w:t>applicability dates table</w:t>
        </w:r>
      </w:hyperlink>
    </w:p>
    <w:p w14:paraId="289AB439" w14:textId="6506DF42" w:rsidR="0005654E" w:rsidRPr="000012B3" w:rsidRDefault="0005654E" w:rsidP="00EE6367">
      <w:pPr>
        <w:pStyle w:val="ListParagraph"/>
        <w:numPr>
          <w:ilvl w:val="0"/>
          <w:numId w:val="31"/>
        </w:numPr>
        <w:spacing w:after="0" w:line="240" w:lineRule="auto"/>
        <w:rPr>
          <w:b/>
          <w:bCs/>
          <w:sz w:val="24"/>
          <w:szCs w:val="24"/>
        </w:rPr>
      </w:pPr>
      <w:hyperlink r:id="rId17" w:tgtFrame="_blank" w:history="1">
        <w:r w:rsidRPr="000012B3">
          <w:rPr>
            <w:rFonts w:ascii="Calibri" w:eastAsia="Times New Roman" w:hAnsi="Calibri" w:cs="Calibri"/>
            <w:b/>
            <w:bCs/>
            <w:color w:val="0070C0"/>
            <w:sz w:val="24"/>
            <w:szCs w:val="24"/>
            <w:u w:val="single"/>
          </w:rPr>
          <w:t>AAHomecare rule summary</w:t>
        </w:r>
      </w:hyperlink>
    </w:p>
    <w:sectPr w:rsidR="0005654E" w:rsidRPr="000012B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6274" w14:textId="77777777" w:rsidR="002970E4" w:rsidRDefault="002970E4" w:rsidP="002F76D3">
      <w:pPr>
        <w:spacing w:after="0" w:line="240" w:lineRule="auto"/>
      </w:pPr>
      <w:r>
        <w:separator/>
      </w:r>
    </w:p>
  </w:endnote>
  <w:endnote w:type="continuationSeparator" w:id="0">
    <w:p w14:paraId="47070D03" w14:textId="77777777" w:rsidR="002970E4" w:rsidRDefault="002970E4" w:rsidP="002F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9558" w14:textId="77777777" w:rsidR="002970E4" w:rsidRDefault="002970E4" w:rsidP="002F76D3">
      <w:pPr>
        <w:spacing w:after="0" w:line="240" w:lineRule="auto"/>
      </w:pPr>
      <w:r>
        <w:separator/>
      </w:r>
    </w:p>
  </w:footnote>
  <w:footnote w:type="continuationSeparator" w:id="0">
    <w:p w14:paraId="09DA31B5" w14:textId="77777777" w:rsidR="002970E4" w:rsidRDefault="002970E4" w:rsidP="002F7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3EBB" w14:textId="46C13139" w:rsidR="002F76D3" w:rsidRDefault="002F76D3" w:rsidP="002F76D3">
    <w:pPr>
      <w:pStyle w:val="Header"/>
      <w:jc w:val="center"/>
    </w:pPr>
    <w:r w:rsidRPr="008D3270">
      <w:rPr>
        <w:noProof/>
        <w:sz w:val="36"/>
        <w:szCs w:val="36"/>
      </w:rPr>
      <w:drawing>
        <wp:inline distT="0" distB="0" distL="0" distR="0" wp14:anchorId="7C8A2FBF" wp14:editId="5C569CA2">
          <wp:extent cx="2780017" cy="438950"/>
          <wp:effectExtent l="0" t="0" r="190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0017" cy="438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714E"/>
    <w:multiLevelType w:val="hybridMultilevel"/>
    <w:tmpl w:val="1DBA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168A"/>
    <w:multiLevelType w:val="hybridMultilevel"/>
    <w:tmpl w:val="9EBA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71B5"/>
    <w:multiLevelType w:val="hybridMultilevel"/>
    <w:tmpl w:val="E90C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0289"/>
    <w:multiLevelType w:val="hybridMultilevel"/>
    <w:tmpl w:val="FD3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631"/>
    <w:multiLevelType w:val="hybridMultilevel"/>
    <w:tmpl w:val="C3BE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C724F"/>
    <w:multiLevelType w:val="hybridMultilevel"/>
    <w:tmpl w:val="421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60719"/>
    <w:multiLevelType w:val="hybridMultilevel"/>
    <w:tmpl w:val="1AC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6057F"/>
    <w:multiLevelType w:val="hybridMultilevel"/>
    <w:tmpl w:val="FC3C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6C7D"/>
    <w:multiLevelType w:val="hybridMultilevel"/>
    <w:tmpl w:val="292E4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50B5F"/>
    <w:multiLevelType w:val="hybridMultilevel"/>
    <w:tmpl w:val="FB3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57157"/>
    <w:multiLevelType w:val="hybridMultilevel"/>
    <w:tmpl w:val="ECC0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E5B00"/>
    <w:multiLevelType w:val="hybridMultilevel"/>
    <w:tmpl w:val="9C6A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68D3"/>
    <w:multiLevelType w:val="hybridMultilevel"/>
    <w:tmpl w:val="5D82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14038"/>
    <w:multiLevelType w:val="hybridMultilevel"/>
    <w:tmpl w:val="BAE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52753"/>
    <w:multiLevelType w:val="hybridMultilevel"/>
    <w:tmpl w:val="AB92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C674F"/>
    <w:multiLevelType w:val="hybridMultilevel"/>
    <w:tmpl w:val="16A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F135F"/>
    <w:multiLevelType w:val="hybridMultilevel"/>
    <w:tmpl w:val="792E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11BC8"/>
    <w:multiLevelType w:val="hybridMultilevel"/>
    <w:tmpl w:val="AA5299D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B10E4B"/>
    <w:multiLevelType w:val="hybridMultilevel"/>
    <w:tmpl w:val="053E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34F5D"/>
    <w:multiLevelType w:val="hybridMultilevel"/>
    <w:tmpl w:val="B23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829B3"/>
    <w:multiLevelType w:val="hybridMultilevel"/>
    <w:tmpl w:val="FB6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F587F"/>
    <w:multiLevelType w:val="hybridMultilevel"/>
    <w:tmpl w:val="B3F0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84899"/>
    <w:multiLevelType w:val="hybridMultilevel"/>
    <w:tmpl w:val="A17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44FF"/>
    <w:multiLevelType w:val="hybridMultilevel"/>
    <w:tmpl w:val="C9C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47E20"/>
    <w:multiLevelType w:val="hybridMultilevel"/>
    <w:tmpl w:val="B1B2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31643"/>
    <w:multiLevelType w:val="hybridMultilevel"/>
    <w:tmpl w:val="569A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42628"/>
    <w:multiLevelType w:val="hybridMultilevel"/>
    <w:tmpl w:val="669A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B66B4"/>
    <w:multiLevelType w:val="hybridMultilevel"/>
    <w:tmpl w:val="449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1072E"/>
    <w:multiLevelType w:val="hybridMultilevel"/>
    <w:tmpl w:val="5DAC1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479B3"/>
    <w:multiLevelType w:val="hybridMultilevel"/>
    <w:tmpl w:val="3D58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C787E"/>
    <w:multiLevelType w:val="hybridMultilevel"/>
    <w:tmpl w:val="7E4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35AAF"/>
    <w:multiLevelType w:val="hybridMultilevel"/>
    <w:tmpl w:val="6DD85F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21911150">
    <w:abstractNumId w:val="11"/>
  </w:num>
  <w:num w:numId="2" w16cid:durableId="821386809">
    <w:abstractNumId w:val="1"/>
  </w:num>
  <w:num w:numId="3" w16cid:durableId="1803961665">
    <w:abstractNumId w:val="22"/>
  </w:num>
  <w:num w:numId="4" w16cid:durableId="257444769">
    <w:abstractNumId w:val="14"/>
  </w:num>
  <w:num w:numId="5" w16cid:durableId="1718163573">
    <w:abstractNumId w:val="4"/>
  </w:num>
  <w:num w:numId="6" w16cid:durableId="190338525">
    <w:abstractNumId w:val="10"/>
  </w:num>
  <w:num w:numId="7" w16cid:durableId="1664967794">
    <w:abstractNumId w:val="16"/>
  </w:num>
  <w:num w:numId="8" w16cid:durableId="1013990122">
    <w:abstractNumId w:val="28"/>
  </w:num>
  <w:num w:numId="9" w16cid:durableId="62526206">
    <w:abstractNumId w:val="26"/>
  </w:num>
  <w:num w:numId="10" w16cid:durableId="1975941178">
    <w:abstractNumId w:val="29"/>
  </w:num>
  <w:num w:numId="11" w16cid:durableId="285937965">
    <w:abstractNumId w:val="2"/>
  </w:num>
  <w:num w:numId="12" w16cid:durableId="785732450">
    <w:abstractNumId w:val="6"/>
  </w:num>
  <w:num w:numId="13" w16cid:durableId="433015812">
    <w:abstractNumId w:val="8"/>
  </w:num>
  <w:num w:numId="14" w16cid:durableId="329328863">
    <w:abstractNumId w:val="12"/>
  </w:num>
  <w:num w:numId="15" w16cid:durableId="289046128">
    <w:abstractNumId w:val="21"/>
  </w:num>
  <w:num w:numId="16" w16cid:durableId="1070232639">
    <w:abstractNumId w:val="27"/>
  </w:num>
  <w:num w:numId="17" w16cid:durableId="1866601582">
    <w:abstractNumId w:val="31"/>
  </w:num>
  <w:num w:numId="18" w16cid:durableId="669258059">
    <w:abstractNumId w:val="5"/>
  </w:num>
  <w:num w:numId="19" w16cid:durableId="129518716">
    <w:abstractNumId w:val="30"/>
  </w:num>
  <w:num w:numId="20" w16cid:durableId="804659397">
    <w:abstractNumId w:val="24"/>
  </w:num>
  <w:num w:numId="21" w16cid:durableId="669599573">
    <w:abstractNumId w:val="19"/>
  </w:num>
  <w:num w:numId="22" w16cid:durableId="1821146072">
    <w:abstractNumId w:val="15"/>
  </w:num>
  <w:num w:numId="23" w16cid:durableId="1277054538">
    <w:abstractNumId w:val="7"/>
  </w:num>
  <w:num w:numId="24" w16cid:durableId="942540969">
    <w:abstractNumId w:val="23"/>
  </w:num>
  <w:num w:numId="25" w16cid:durableId="2027906883">
    <w:abstractNumId w:val="13"/>
  </w:num>
  <w:num w:numId="26" w16cid:durableId="1884711915">
    <w:abstractNumId w:val="18"/>
  </w:num>
  <w:num w:numId="27" w16cid:durableId="784814943">
    <w:abstractNumId w:val="17"/>
  </w:num>
  <w:num w:numId="28" w16cid:durableId="344985698">
    <w:abstractNumId w:val="9"/>
  </w:num>
  <w:num w:numId="29" w16cid:durableId="881744039">
    <w:abstractNumId w:val="20"/>
  </w:num>
  <w:num w:numId="30" w16cid:durableId="8602888">
    <w:abstractNumId w:val="3"/>
  </w:num>
  <w:num w:numId="31" w16cid:durableId="539241534">
    <w:abstractNumId w:val="0"/>
  </w:num>
  <w:num w:numId="32" w16cid:durableId="1168405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70"/>
    <w:rsid w:val="000012B3"/>
    <w:rsid w:val="00022187"/>
    <w:rsid w:val="00030715"/>
    <w:rsid w:val="000470A6"/>
    <w:rsid w:val="000539A0"/>
    <w:rsid w:val="0005654E"/>
    <w:rsid w:val="00064789"/>
    <w:rsid w:val="0007422B"/>
    <w:rsid w:val="000844F4"/>
    <w:rsid w:val="000873DD"/>
    <w:rsid w:val="00087C90"/>
    <w:rsid w:val="000C5DDB"/>
    <w:rsid w:val="000E05C6"/>
    <w:rsid w:val="000F09DA"/>
    <w:rsid w:val="000F4EE8"/>
    <w:rsid w:val="0010533B"/>
    <w:rsid w:val="00105680"/>
    <w:rsid w:val="00127FB5"/>
    <w:rsid w:val="00133766"/>
    <w:rsid w:val="00162BA1"/>
    <w:rsid w:val="00164410"/>
    <w:rsid w:val="00194865"/>
    <w:rsid w:val="001A03BB"/>
    <w:rsid w:val="001A201F"/>
    <w:rsid w:val="001A298B"/>
    <w:rsid w:val="001C1712"/>
    <w:rsid w:val="001F3196"/>
    <w:rsid w:val="001F371B"/>
    <w:rsid w:val="00216402"/>
    <w:rsid w:val="00223152"/>
    <w:rsid w:val="002322E5"/>
    <w:rsid w:val="002360BD"/>
    <w:rsid w:val="00253325"/>
    <w:rsid w:val="0025428D"/>
    <w:rsid w:val="00255B94"/>
    <w:rsid w:val="00265467"/>
    <w:rsid w:val="00274BE6"/>
    <w:rsid w:val="0029513B"/>
    <w:rsid w:val="002970E4"/>
    <w:rsid w:val="002B0260"/>
    <w:rsid w:val="002C1596"/>
    <w:rsid w:val="002D54EE"/>
    <w:rsid w:val="002F2ABC"/>
    <w:rsid w:val="002F76D3"/>
    <w:rsid w:val="00300973"/>
    <w:rsid w:val="00303B62"/>
    <w:rsid w:val="003205CF"/>
    <w:rsid w:val="00332BC1"/>
    <w:rsid w:val="0033476E"/>
    <w:rsid w:val="0034243D"/>
    <w:rsid w:val="00376E42"/>
    <w:rsid w:val="00392591"/>
    <w:rsid w:val="003A4238"/>
    <w:rsid w:val="003B39CB"/>
    <w:rsid w:val="003B65EE"/>
    <w:rsid w:val="003B703D"/>
    <w:rsid w:val="003D0906"/>
    <w:rsid w:val="003E10A8"/>
    <w:rsid w:val="003F0A64"/>
    <w:rsid w:val="004000A9"/>
    <w:rsid w:val="00405170"/>
    <w:rsid w:val="00414582"/>
    <w:rsid w:val="00465B9E"/>
    <w:rsid w:val="0047336D"/>
    <w:rsid w:val="00475BF0"/>
    <w:rsid w:val="0049682D"/>
    <w:rsid w:val="004978B6"/>
    <w:rsid w:val="004A0E15"/>
    <w:rsid w:val="004A21C8"/>
    <w:rsid w:val="004A2EC7"/>
    <w:rsid w:val="004A6FE2"/>
    <w:rsid w:val="004C5074"/>
    <w:rsid w:val="004D0C7F"/>
    <w:rsid w:val="004D317C"/>
    <w:rsid w:val="004F56F2"/>
    <w:rsid w:val="00507B36"/>
    <w:rsid w:val="00515732"/>
    <w:rsid w:val="0052526F"/>
    <w:rsid w:val="00545B6D"/>
    <w:rsid w:val="00550614"/>
    <w:rsid w:val="00551372"/>
    <w:rsid w:val="005539E9"/>
    <w:rsid w:val="00557D5A"/>
    <w:rsid w:val="0058405B"/>
    <w:rsid w:val="00584329"/>
    <w:rsid w:val="00596E1B"/>
    <w:rsid w:val="005A1E3E"/>
    <w:rsid w:val="005E1D78"/>
    <w:rsid w:val="005F0337"/>
    <w:rsid w:val="005F3B41"/>
    <w:rsid w:val="006127B8"/>
    <w:rsid w:val="00620D61"/>
    <w:rsid w:val="00624C24"/>
    <w:rsid w:val="00626BCA"/>
    <w:rsid w:val="006336F3"/>
    <w:rsid w:val="00652D70"/>
    <w:rsid w:val="00663FC3"/>
    <w:rsid w:val="00670190"/>
    <w:rsid w:val="00672116"/>
    <w:rsid w:val="00683D31"/>
    <w:rsid w:val="00696323"/>
    <w:rsid w:val="006B096F"/>
    <w:rsid w:val="006B3B13"/>
    <w:rsid w:val="006C4D56"/>
    <w:rsid w:val="006D14E6"/>
    <w:rsid w:val="006F48AF"/>
    <w:rsid w:val="00713603"/>
    <w:rsid w:val="00721916"/>
    <w:rsid w:val="00733E0C"/>
    <w:rsid w:val="00747E8E"/>
    <w:rsid w:val="0075169D"/>
    <w:rsid w:val="007767CD"/>
    <w:rsid w:val="007975FC"/>
    <w:rsid w:val="007C01D0"/>
    <w:rsid w:val="007C07A0"/>
    <w:rsid w:val="007D7B87"/>
    <w:rsid w:val="007E3232"/>
    <w:rsid w:val="008115FC"/>
    <w:rsid w:val="00820366"/>
    <w:rsid w:val="00825867"/>
    <w:rsid w:val="008542EA"/>
    <w:rsid w:val="00861FE4"/>
    <w:rsid w:val="008765E0"/>
    <w:rsid w:val="00886F8B"/>
    <w:rsid w:val="0089317D"/>
    <w:rsid w:val="008C0D27"/>
    <w:rsid w:val="008D3270"/>
    <w:rsid w:val="008E1CBA"/>
    <w:rsid w:val="008E2DD3"/>
    <w:rsid w:val="008E5CD4"/>
    <w:rsid w:val="008F2C31"/>
    <w:rsid w:val="008F5713"/>
    <w:rsid w:val="00902F54"/>
    <w:rsid w:val="009031A3"/>
    <w:rsid w:val="009101D1"/>
    <w:rsid w:val="00916664"/>
    <w:rsid w:val="00925DD6"/>
    <w:rsid w:val="009337D7"/>
    <w:rsid w:val="00947589"/>
    <w:rsid w:val="00947DCD"/>
    <w:rsid w:val="00954F69"/>
    <w:rsid w:val="00971F47"/>
    <w:rsid w:val="00975A16"/>
    <w:rsid w:val="00981A1D"/>
    <w:rsid w:val="009842DD"/>
    <w:rsid w:val="009906AC"/>
    <w:rsid w:val="009A0EE6"/>
    <w:rsid w:val="009A2BA2"/>
    <w:rsid w:val="009A63A3"/>
    <w:rsid w:val="009A788E"/>
    <w:rsid w:val="009B2F39"/>
    <w:rsid w:val="009C64AB"/>
    <w:rsid w:val="009D342E"/>
    <w:rsid w:val="009F484E"/>
    <w:rsid w:val="00A01795"/>
    <w:rsid w:val="00A02627"/>
    <w:rsid w:val="00A07A57"/>
    <w:rsid w:val="00A149CD"/>
    <w:rsid w:val="00A16587"/>
    <w:rsid w:val="00A16F1F"/>
    <w:rsid w:val="00A17A15"/>
    <w:rsid w:val="00A31A82"/>
    <w:rsid w:val="00A421C4"/>
    <w:rsid w:val="00A4270B"/>
    <w:rsid w:val="00A56378"/>
    <w:rsid w:val="00A60477"/>
    <w:rsid w:val="00A672CE"/>
    <w:rsid w:val="00A815F1"/>
    <w:rsid w:val="00A86732"/>
    <w:rsid w:val="00A90F40"/>
    <w:rsid w:val="00A90F5A"/>
    <w:rsid w:val="00A94942"/>
    <w:rsid w:val="00A97F2A"/>
    <w:rsid w:val="00AB2D08"/>
    <w:rsid w:val="00AC1F4F"/>
    <w:rsid w:val="00AD471E"/>
    <w:rsid w:val="00AD5BFE"/>
    <w:rsid w:val="00AD5CC1"/>
    <w:rsid w:val="00AF2209"/>
    <w:rsid w:val="00B065C1"/>
    <w:rsid w:val="00B22F14"/>
    <w:rsid w:val="00B2351B"/>
    <w:rsid w:val="00B23FD2"/>
    <w:rsid w:val="00B258CD"/>
    <w:rsid w:val="00B514E5"/>
    <w:rsid w:val="00B61EB6"/>
    <w:rsid w:val="00B67CEE"/>
    <w:rsid w:val="00B9768F"/>
    <w:rsid w:val="00B97CDC"/>
    <w:rsid w:val="00BC32DE"/>
    <w:rsid w:val="00BD499F"/>
    <w:rsid w:val="00BE28B0"/>
    <w:rsid w:val="00BF0DDD"/>
    <w:rsid w:val="00C01E64"/>
    <w:rsid w:val="00C07018"/>
    <w:rsid w:val="00C1430D"/>
    <w:rsid w:val="00C23E9D"/>
    <w:rsid w:val="00C41E90"/>
    <w:rsid w:val="00C422E3"/>
    <w:rsid w:val="00C4272E"/>
    <w:rsid w:val="00C431F5"/>
    <w:rsid w:val="00C52397"/>
    <w:rsid w:val="00C5493F"/>
    <w:rsid w:val="00C86FF5"/>
    <w:rsid w:val="00CC728E"/>
    <w:rsid w:val="00CE387C"/>
    <w:rsid w:val="00CE5CA2"/>
    <w:rsid w:val="00D0595E"/>
    <w:rsid w:val="00D05FA9"/>
    <w:rsid w:val="00D07E07"/>
    <w:rsid w:val="00D22FB6"/>
    <w:rsid w:val="00D25099"/>
    <w:rsid w:val="00D34B5A"/>
    <w:rsid w:val="00D47948"/>
    <w:rsid w:val="00D56C4D"/>
    <w:rsid w:val="00D64165"/>
    <w:rsid w:val="00D740D2"/>
    <w:rsid w:val="00D77503"/>
    <w:rsid w:val="00D950F4"/>
    <w:rsid w:val="00D96C32"/>
    <w:rsid w:val="00DB6BAB"/>
    <w:rsid w:val="00DC2A7D"/>
    <w:rsid w:val="00DE2C0C"/>
    <w:rsid w:val="00DE3298"/>
    <w:rsid w:val="00DE72D6"/>
    <w:rsid w:val="00E120BC"/>
    <w:rsid w:val="00E14CD1"/>
    <w:rsid w:val="00E2396F"/>
    <w:rsid w:val="00E30312"/>
    <w:rsid w:val="00E557AC"/>
    <w:rsid w:val="00E55F09"/>
    <w:rsid w:val="00E6198C"/>
    <w:rsid w:val="00E624EC"/>
    <w:rsid w:val="00E6409B"/>
    <w:rsid w:val="00E718C5"/>
    <w:rsid w:val="00E7348D"/>
    <w:rsid w:val="00E7432C"/>
    <w:rsid w:val="00E81C39"/>
    <w:rsid w:val="00E97F22"/>
    <w:rsid w:val="00EA3D9B"/>
    <w:rsid w:val="00EA3F6D"/>
    <w:rsid w:val="00EC1525"/>
    <w:rsid w:val="00EC2722"/>
    <w:rsid w:val="00EC669E"/>
    <w:rsid w:val="00ED04DE"/>
    <w:rsid w:val="00ED1009"/>
    <w:rsid w:val="00EE6367"/>
    <w:rsid w:val="00EF28F3"/>
    <w:rsid w:val="00F11011"/>
    <w:rsid w:val="00F11D82"/>
    <w:rsid w:val="00F11F60"/>
    <w:rsid w:val="00F304C5"/>
    <w:rsid w:val="00F55301"/>
    <w:rsid w:val="00F5758D"/>
    <w:rsid w:val="00F6334C"/>
    <w:rsid w:val="00F64DB1"/>
    <w:rsid w:val="00F673B0"/>
    <w:rsid w:val="00F775E1"/>
    <w:rsid w:val="00F77614"/>
    <w:rsid w:val="00F80DBE"/>
    <w:rsid w:val="00F86E51"/>
    <w:rsid w:val="00FB22AC"/>
    <w:rsid w:val="00FB4766"/>
    <w:rsid w:val="00FB5BF6"/>
    <w:rsid w:val="00FC5703"/>
    <w:rsid w:val="00FC7E75"/>
    <w:rsid w:val="00FD4E09"/>
    <w:rsid w:val="00FD71F8"/>
    <w:rsid w:val="00FE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143A"/>
  <w15:chartTrackingRefBased/>
  <w15:docId w15:val="{D6A4A05E-932C-4A55-B26E-29B1BCE7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270"/>
    <w:rPr>
      <w:color w:val="0563C1"/>
      <w:u w:val="single"/>
    </w:rPr>
  </w:style>
  <w:style w:type="paragraph" w:styleId="ListParagraph">
    <w:name w:val="List Paragraph"/>
    <w:basedOn w:val="Normal"/>
    <w:uiPriority w:val="34"/>
    <w:qFormat/>
    <w:rsid w:val="008D3270"/>
    <w:pPr>
      <w:ind w:left="720"/>
      <w:contextualSpacing/>
    </w:pPr>
  </w:style>
  <w:style w:type="paragraph" w:styleId="Header">
    <w:name w:val="header"/>
    <w:basedOn w:val="Normal"/>
    <w:link w:val="HeaderChar"/>
    <w:uiPriority w:val="99"/>
    <w:unhideWhenUsed/>
    <w:rsid w:val="002F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D3"/>
  </w:style>
  <w:style w:type="paragraph" w:styleId="Footer">
    <w:name w:val="footer"/>
    <w:basedOn w:val="Normal"/>
    <w:link w:val="FooterChar"/>
    <w:uiPriority w:val="99"/>
    <w:unhideWhenUsed/>
    <w:rsid w:val="002F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D3"/>
  </w:style>
  <w:style w:type="character" w:styleId="UnresolvedMention">
    <w:name w:val="Unresolved Mention"/>
    <w:basedOn w:val="DefaultParagraphFont"/>
    <w:uiPriority w:val="99"/>
    <w:semiHidden/>
    <w:unhideWhenUsed/>
    <w:rsid w:val="0058405B"/>
    <w:rPr>
      <w:color w:val="605E5C"/>
      <w:shd w:val="clear" w:color="auto" w:fill="E1DFDD"/>
    </w:rPr>
  </w:style>
  <w:style w:type="character" w:styleId="FollowedHyperlink">
    <w:name w:val="FollowedHyperlink"/>
    <w:basedOn w:val="DefaultParagraphFont"/>
    <w:uiPriority w:val="99"/>
    <w:semiHidden/>
    <w:unhideWhenUsed/>
    <w:rsid w:val="00087C90"/>
    <w:rPr>
      <w:color w:val="954F72" w:themeColor="followedHyperlink"/>
      <w:u w:val="single"/>
    </w:rPr>
  </w:style>
  <w:style w:type="character" w:styleId="Emphasis">
    <w:name w:val="Emphasis"/>
    <w:basedOn w:val="DefaultParagraphFont"/>
    <w:uiPriority w:val="20"/>
    <w:qFormat/>
    <w:rsid w:val="00253325"/>
    <w:rPr>
      <w:i/>
      <w:iCs/>
    </w:rPr>
  </w:style>
  <w:style w:type="character" w:styleId="Strong">
    <w:name w:val="Strong"/>
    <w:basedOn w:val="DefaultParagraphFont"/>
    <w:uiPriority w:val="22"/>
    <w:qFormat/>
    <w:rsid w:val="00B23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homecare.org/files/galleries/AAH_Comments_2026_MA_and_Part_D_Technical_Proposed_Rule_CMS_4208-P.pdf" TargetMode="External"/><Relationship Id="rId13" Type="http://schemas.openxmlformats.org/officeDocument/2006/relationships/hyperlink" Target="https://url.emailprotection.link/?bkThWWcG3lcB0YVE3gxgtZbo3tDyd7PbdIHwNFVmvU-FOt4keRkSWFkx-MfdBXuRaPBAyRq66EaOfUpqsiddNLMLnTnky9uyU24q4gY3OcFk0sTdPcvNOlUnlQsEtuGwDIp8CdYL3z-V7N0jvNp4zFTYXo89v8ak6c8jCYBupjpaHlg5SCBN9iz6d2lZ4BkJFOYXWkbHCwJqEYPAo84JgbwRi5Ap7AAGH4_n9GoQwEZ7t-VXVl9OHqBlR4f3CnegipD-9bkNaiabRFZw_A7mlwMPguojwEJDJUl7aRpIIJpeaTmLyHyELGObZGC35XksjkrvWeQsanGU0U0gQkLflmLAkbaFlSzV2KYDi3q1tgeBHxxXzdQfY1lElkCJYyWxjuONZtNKXCH5OajRVy37j26aVq4LyDA0lkxl-ZZph1a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ahomecare.org/Payer-Transparency-Portal" TargetMode="External"/><Relationship Id="rId12" Type="http://schemas.openxmlformats.org/officeDocument/2006/relationships/hyperlink" Target="https://url.emailprotection.link/?bQj3oNJoznmWaFyxt_mfupZZvoZg46QxlsKdrq5KDvP8AyP0KpuUuLk_MG91PoGHSp1bQqiMvR7wvYPGoc34_JOonhVtxKGGM7lFmUBLGlc0LhVDB-jDvZM7AePakeMcIXzIQct5IIIf4rmyc8Njk3bBM9UB6Uk2xh1MOYFKQtdpOJ4Iq-78RcxHowDzCYD-p0QgTh8cWSOU-j8GwMgX8C5IX9SDs05tTE6YPA0JVRJN0kvXCFPJwlZrFkb0Rz4D9B-o1U4hWHzP4hCY_e3as1Gcaj7nPiL5gcl4iIjctLB3UYpcwYY1fpNP_zXblH7cCtOXPoIm4C0QvCuaUapa65UpEWbhGF_0PZIeIpvgIdih-lHikjECHrajrhoLVMTJs9k35k2H5fDnAMewy4UlTuixCbUAAwcbbTVTSkTtkplo~" TargetMode="External"/><Relationship Id="rId17" Type="http://schemas.openxmlformats.org/officeDocument/2006/relationships/hyperlink" Target="https://aahomecare.us1.list-manage.com/track/click?u=3c0f3755f13930464597f245a&amp;id=bb36c28c34&amp;e=84284f6db5" TargetMode="External"/><Relationship Id="rId2" Type="http://schemas.openxmlformats.org/officeDocument/2006/relationships/styles" Target="styles.xml"/><Relationship Id="rId16" Type="http://schemas.openxmlformats.org/officeDocument/2006/relationships/hyperlink" Target="https://url.emailprotection.link/?b4wQm7iplcI8DTvdQ2lcywx-qZpSzuJPrrZQhW-CHDAwUJL3hp_HeppLkH-k3ICtppb9_Gysc9qa8pSI2SLlqtj5PYl9S7CZ7ph7CEpv5HBeQ6PiSDVMdCeVCRA8PL1tNuLimbOzCXGp36Dt4LyL67wOJWLeRwEPR80AqpW_8I8ZrRGVPWgIs-aeTXp8HlQE4PgPfcmBP8jc3ovA1UL7x8Ve_3YpKoikRl6dpgz9A1KGPLdkwmQ1KQnmR_Hi7isv4WhdITrb5mS9TjF-1QEE86aOd7xQdusI6B9S3IqkZQqt7pDj-bUW3Qf2OsBbKM3WasZ3T76Ua4cncbfbmRRPPmsYIsR0hyJQk8wWT301j8-iVmiKdJHM8FKxP_aSYWBnNN08P0ZyZCTED8d5q0AFn3b_jI3LkPRlEBVajQ7f6y9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homecare.us1.list-manage.com/track/click?u=3c0f3755f13930464597f245a&amp;id=2c7dc000d2&amp;e=84284f6db5" TargetMode="External"/><Relationship Id="rId5" Type="http://schemas.openxmlformats.org/officeDocument/2006/relationships/footnotes" Target="footnotes.xml"/><Relationship Id="rId15" Type="http://schemas.openxmlformats.org/officeDocument/2006/relationships/hyperlink" Target="https://url.emailprotection.link/?bcUCmwY6GXMWGYDJLyDfUo1EnGI3MNFMHWD1jnCsoa-6iMSk3xqRHJyeO-vL0HTpG5VBeTyuGz9zPnSakG4MOWlzwf7qZUB1Bgbs3Fu0mRSXpNQmFRBh56AdpWCtHaaizwVLK7BKsnPcqis9ptlOnlfBtt_fik-LpJa-ZHDQ7LWwSOLTrrKfEX_n-591JAvN_8MI6NB86FnhWbboMZ_FxwIGuhIZ-iAtmt5wqIe-Jhh5NSbscpjeCwoDQJm9TkYnp3xxh1J3p4E18sx5SxGSeyhBrvjW3R-g2OQ0AdZsEonebQSVFTVopaZ_eyO2l0DSPNliek_d0atHBIU64PfdsIYVNf4EI9UrinCFVmwkKcLZD30MrG2H0-BvAM7I66HE668gkoK5zQZGskD_drR4CWr6IDOHYeRwq_NSHHWvZ61dZgk_5issH-JZj5h___R_tqZFxYYmEk6tlZODAgNxVQQ~~" TargetMode="External"/><Relationship Id="rId10" Type="http://schemas.openxmlformats.org/officeDocument/2006/relationships/hyperlink" Target="https://www.cms.gov/newsroom/fact-sheets/contract-year-2025-medicare-advantage-and-part-d-final-rule-cms-4205-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ahomecare.org/files/galleries/AAHomecare_Summary_Contract_Year_2026_MA_and_Part_D_Final_Rule.pdf" TargetMode="External"/><Relationship Id="rId14" Type="http://schemas.openxmlformats.org/officeDocument/2006/relationships/hyperlink" Target="https://aahomecare.us1.list-manage.com/track/click?u=3c0f3755f13930464597f245a&amp;id=7a671110e3&amp;e=84284f6db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Williard</dc:creator>
  <cp:keywords/>
  <dc:description/>
  <cp:lastModifiedBy>suem@aahomecare1.onmicrosoft.com</cp:lastModifiedBy>
  <cp:revision>2</cp:revision>
  <dcterms:created xsi:type="dcterms:W3CDTF">2025-06-19T14:42:00Z</dcterms:created>
  <dcterms:modified xsi:type="dcterms:W3CDTF">2025-06-19T14:42:00Z</dcterms:modified>
</cp:coreProperties>
</file>